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9FBFA"/>
  <w:body>
    <w:p>
      <w:pPr>
        <w:pStyle w:val="24"/>
        <w:spacing w:line="360" w:lineRule="auto"/>
        <w:rPr>
          <w:rFonts w:hint="eastAsia"/>
          <w:sz w:val="28"/>
          <w:szCs w:val="28"/>
        </w:rPr>
      </w:pPr>
      <w:bookmarkStart w:id="0" w:name="SectionMark0"/>
      <w:r>
        <mc:AlternateContent>
          <mc:Choice Requires="wps">
            <w:drawing>
              <wp:anchor distT="0" distB="0" distL="114300" distR="114300" simplePos="0" relativeHeight="251667456" behindDoc="0" locked="1" layoutInCell="1" allowOverlap="1">
                <wp:simplePos x="0" y="0"/>
                <wp:positionH relativeFrom="margin">
                  <wp:posOffset>3928745</wp:posOffset>
                </wp:positionH>
                <wp:positionV relativeFrom="margin">
                  <wp:posOffset>107315</wp:posOffset>
                </wp:positionV>
                <wp:extent cx="1795780" cy="720090"/>
                <wp:effectExtent l="0" t="0" r="13970" b="3810"/>
                <wp:wrapNone/>
                <wp:docPr id="9" name="文本框 9"/>
                <wp:cNvGraphicFramePr/>
                <a:graphic xmlns:a="http://schemas.openxmlformats.org/drawingml/2006/main">
                  <a:graphicData uri="http://schemas.microsoft.com/office/word/2010/wordprocessingShape">
                    <wps:wsp>
                      <wps:cNvSpPr txBox="1"/>
                      <wps:spPr>
                        <a:xfrm>
                          <a:off x="0" y="0"/>
                          <a:ext cx="1795780" cy="720090"/>
                        </a:xfrm>
                        <a:prstGeom prst="rect">
                          <a:avLst/>
                        </a:prstGeom>
                        <a:solidFill>
                          <a:srgbClr val="FFFFFF"/>
                        </a:solidFill>
                        <a:ln>
                          <a:noFill/>
                        </a:ln>
                      </wps:spPr>
                      <wps:txbx>
                        <w:txbxContent>
                          <w:p>
                            <w:pPr>
                              <w:pStyle w:val="25"/>
                              <w:rPr>
                                <w:rFonts w:hint="default" w:eastAsia="宋体"/>
                                <w:spacing w:val="-20"/>
                                <w:w w:val="90"/>
                                <w:lang w:val="en-US" w:eastAsia="zh-CN"/>
                              </w:rPr>
                            </w:pPr>
                            <w:r>
                              <w:rPr>
                                <w:rFonts w:hint="eastAsia"/>
                                <w:spacing w:val="-20"/>
                                <w:w w:val="90"/>
                                <w:lang w:val="en-US" w:eastAsia="zh-CN"/>
                              </w:rPr>
                              <w:t>GB</w:t>
                            </w:r>
                          </w:p>
                        </w:txbxContent>
                      </wps:txbx>
                      <wps:bodyPr lIns="0" tIns="0" rIns="0" bIns="0" upright="1"/>
                    </wps:wsp>
                  </a:graphicData>
                </a:graphic>
              </wp:anchor>
            </w:drawing>
          </mc:Choice>
          <mc:Fallback>
            <w:pict>
              <v:shape id="_x0000_s1026" o:spid="_x0000_s1026" o:spt="202" type="#_x0000_t202" style="position:absolute;left:0pt;margin-left:309.35pt;margin-top:8.45pt;height:56.7pt;width:141.4pt;mso-position-horizontal-relative:margin;mso-position-vertical-relative:margin;z-index:251667456;mso-width-relative:page;mso-height-relative:page;" fillcolor="#FFFFFF" filled="t" stroked="f" coordsize="21600,21600" o:gfxdata="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SWG4XYAAAACgEAAA8AAAAAAAAAAQAgAAAAIgAA&#10;AGRycy9kb3ducmV2LnhtbFBLAQIUABQAAAAIAIdO4kClTp3fzwEAAJsDAAAOAAAAAAAAAAEAIAAA&#10;ACcBAABkcnMvZTJvRG9jLnhtbFBLBQYAAAAABgAGAFkBAABoBQAAAAA=&#10;">
                <v:fill on="t" focussize="0,0"/>
                <v:stroke on="f"/>
                <v:imagedata o:title=""/>
                <o:lock v:ext="edit" aspectratio="f"/>
                <v:textbox inset="0mm,0mm,0mm,0mm">
                  <w:txbxContent>
                    <w:p>
                      <w:pPr>
                        <w:pStyle w:val="25"/>
                        <w:rPr>
                          <w:rFonts w:hint="default" w:eastAsia="宋体"/>
                          <w:spacing w:val="-20"/>
                          <w:w w:val="90"/>
                          <w:lang w:val="en-US" w:eastAsia="zh-CN"/>
                        </w:rPr>
                      </w:pPr>
                      <w:r>
                        <w:rPr>
                          <w:rFonts w:hint="eastAsia"/>
                          <w:spacing w:val="-20"/>
                          <w:w w:val="90"/>
                          <w:lang w:val="en-US" w:eastAsia="zh-CN"/>
                        </w:rPr>
                        <w:t>GB</w:t>
                      </w:r>
                    </w:p>
                  </w:txbxContent>
                </v:textbox>
                <w10:anchorlock/>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0</wp:posOffset>
                </wp:positionH>
                <wp:positionV relativeFrom="paragraph">
                  <wp:posOffset>8890000</wp:posOffset>
                </wp:positionV>
                <wp:extent cx="612140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700pt;height:0pt;width:482pt;z-index:25166643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sS+VjSAAAACgEAAA8AAAAAAAAAAQAgAAAAIgAAAGRycy9kb3ducmV2LnhtbFBLAQIUABQA&#10;AAAIAIdO4kDngOsy9gEAAOUDAAAOAAAAAAAAAAEAIAAAACEBAABkcnMvZTJvRG9jLnhtbFBLBQYA&#10;AAAABgAGAFkBAACJBQAAAAA=&#10;">
                <v:fill on="f" focussize="0,0"/>
                <v:stroke weight="1pt" color="#800008"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9108440</wp:posOffset>
                </wp:positionV>
                <wp:extent cx="6120130" cy="539115"/>
                <wp:effectExtent l="0" t="0" r="13970" b="13335"/>
                <wp:wrapNone/>
                <wp:docPr id="1" name="文本框 1"/>
                <wp:cNvGraphicFramePr/>
                <a:graphic xmlns:a="http://schemas.openxmlformats.org/drawingml/2006/main">
                  <a:graphicData uri="http://schemas.microsoft.com/office/word/2010/wordprocessingShape">
                    <wps:wsp>
                      <wps:cNvSpPr txBox="1"/>
                      <wps:spPr>
                        <a:xfrm>
                          <a:off x="0" y="0"/>
                          <a:ext cx="6120130" cy="539115"/>
                        </a:xfrm>
                        <a:prstGeom prst="rect">
                          <a:avLst/>
                        </a:prstGeom>
                        <a:solidFill>
                          <a:srgbClr val="FFFFFF"/>
                        </a:solidFill>
                        <a:ln>
                          <a:noFill/>
                        </a:ln>
                      </wps:spPr>
                      <wps:txbx>
                        <w:txbxContent>
                          <w:p>
                            <w:pPr>
                              <w:pStyle w:val="26"/>
                              <w:rPr>
                                <w:rStyle w:val="28"/>
                                <w:rFonts w:hint="eastAsia"/>
                                <w:szCs w:val="22"/>
                              </w:rPr>
                            </w:pPr>
                            <w:r>
                              <w:rPr>
                                <w:rStyle w:val="28"/>
                                <w:rFonts w:hint="eastAsia"/>
                                <w:szCs w:val="22"/>
                              </w:rPr>
                              <w:t>国家</w:t>
                            </w:r>
                            <w:r>
                              <w:rPr>
                                <w:rStyle w:val="28"/>
                                <w:rFonts w:hint="eastAsia"/>
                                <w:szCs w:val="22"/>
                                <w:lang w:val="en-US" w:eastAsia="zh-CN"/>
                              </w:rPr>
                              <w:t>市场</w:t>
                            </w:r>
                            <w:r>
                              <w:rPr>
                                <w:rStyle w:val="28"/>
                                <w:rFonts w:hint="eastAsia"/>
                                <w:szCs w:val="22"/>
                              </w:rPr>
                              <w:t>监督</w:t>
                            </w:r>
                            <w:r>
                              <w:rPr>
                                <w:rStyle w:val="28"/>
                                <w:rFonts w:hint="eastAsia"/>
                                <w:szCs w:val="22"/>
                                <w:lang w:val="en-US" w:eastAsia="zh-CN"/>
                              </w:rPr>
                              <w:t>管理</w:t>
                            </w:r>
                            <w:r>
                              <w:rPr>
                                <w:rStyle w:val="28"/>
                                <w:rFonts w:hint="eastAsia"/>
                                <w:szCs w:val="22"/>
                              </w:rPr>
                              <w:t>总局</w:t>
                            </w:r>
                          </w:p>
                          <w:p>
                            <w:pPr>
                              <w:pStyle w:val="26"/>
                            </w:pPr>
                            <w:r>
                              <w:rPr>
                                <w:rStyle w:val="28"/>
                                <w:rFonts w:hint="eastAsia"/>
                                <w:szCs w:val="22"/>
                              </w:rPr>
                              <w:t>国家标准化管理委员会</w:t>
                            </w:r>
                            <w:r>
                              <w:rPr>
                                <w:rFonts w:hint="eastAsia"/>
                              </w:rPr>
                              <w:t xml:space="preserve">     </w:t>
                            </w:r>
                          </w:p>
                        </w:txbxContent>
                      </wps:txbx>
                      <wps:bodyPr lIns="0" tIns="0" rIns="0" bIns="0" upright="1"/>
                    </wps:wsp>
                  </a:graphicData>
                </a:graphic>
              </wp:anchor>
            </w:drawing>
          </mc:Choice>
          <mc:Fallback>
            <w:pict>
              <v:shape id="_x0000_s1026" o:spid="_x0000_s1026" o:spt="202" type="#_x0000_t202" style="position:absolute;left:0pt;margin-left:0pt;margin-top:717.2pt;height:42.45pt;width:481.9pt;mso-position-horizontal-relative:margin;mso-position-vertical-relative:margin;z-index:251664384;mso-width-relative:page;mso-height-relative:page;" fillcolor="#FFFFFF" filled="t" stroked="f" coordsize="21600,21600" o:gfxdata="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DdgjXrZAAAACgEAAA8AAAAAAAAAAQAgAAAAIgAAAGRy&#10;cy9kb3ducmV2LnhtbFBLAQIUABQAAAAIAIdO4kAq74TzywEAAJsDAAAOAAAAAAAAAAEAIAAAACgB&#10;AABkcnMvZTJvRG9jLnhtbFBLBQYAAAAABgAGAFkBAABlBQAAAAA=&#10;">
                <v:fill on="t" focussize="0,0"/>
                <v:stroke on="f"/>
                <v:imagedata o:title=""/>
                <o:lock v:ext="edit" aspectratio="f"/>
                <v:textbox inset="0mm,0mm,0mm,0mm">
                  <w:txbxContent>
                    <w:p>
                      <w:pPr>
                        <w:pStyle w:val="26"/>
                        <w:rPr>
                          <w:rStyle w:val="28"/>
                          <w:rFonts w:hint="eastAsia"/>
                          <w:szCs w:val="22"/>
                        </w:rPr>
                      </w:pPr>
                      <w:r>
                        <w:rPr>
                          <w:rStyle w:val="28"/>
                          <w:rFonts w:hint="eastAsia"/>
                          <w:szCs w:val="22"/>
                        </w:rPr>
                        <w:t>国家</w:t>
                      </w:r>
                      <w:r>
                        <w:rPr>
                          <w:rStyle w:val="28"/>
                          <w:rFonts w:hint="eastAsia"/>
                          <w:szCs w:val="22"/>
                          <w:lang w:val="en-US" w:eastAsia="zh-CN"/>
                        </w:rPr>
                        <w:t>市场</w:t>
                      </w:r>
                      <w:r>
                        <w:rPr>
                          <w:rStyle w:val="28"/>
                          <w:rFonts w:hint="eastAsia"/>
                          <w:szCs w:val="22"/>
                        </w:rPr>
                        <w:t>监督</w:t>
                      </w:r>
                      <w:r>
                        <w:rPr>
                          <w:rStyle w:val="28"/>
                          <w:rFonts w:hint="eastAsia"/>
                          <w:szCs w:val="22"/>
                          <w:lang w:val="en-US" w:eastAsia="zh-CN"/>
                        </w:rPr>
                        <w:t>管理</w:t>
                      </w:r>
                      <w:r>
                        <w:rPr>
                          <w:rStyle w:val="28"/>
                          <w:rFonts w:hint="eastAsia"/>
                          <w:szCs w:val="22"/>
                        </w:rPr>
                        <w:t>总局</w:t>
                      </w:r>
                    </w:p>
                    <w:p>
                      <w:pPr>
                        <w:pStyle w:val="26"/>
                      </w:pPr>
                      <w:r>
                        <w:rPr>
                          <w:rStyle w:val="28"/>
                          <w:rFonts w:hint="eastAsia"/>
                          <w:szCs w:val="22"/>
                        </w:rPr>
                        <w:t>国家标准化管理委员会</w:t>
                      </w:r>
                      <w:r>
                        <w:rPr>
                          <w:rFonts w:hint="eastAsia"/>
                        </w:rPr>
                        <w:t xml:space="preserve">     </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0" r="0" b="11430"/>
                <wp:wrapNone/>
                <wp:docPr id="8" name="文本框 8"/>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29"/>
                            </w:pPr>
                            <w:r>
                              <w:rPr>
                                <w:rFonts w:hint="eastAsia"/>
                              </w:rPr>
                              <w:t>20XX-XX-XX实施</w:t>
                            </w:r>
                          </w:p>
                        </w:txbxContent>
                      </wps:txbx>
                      <wps:bodyPr lIns="0" tIns="0" rIns="0" bIns="0" upright="1"/>
                    </wps:wsp>
                  </a:graphicData>
                </a:graphic>
              </wp:anchor>
            </w:drawing>
          </mc:Choice>
          <mc:Fallback>
            <w:pict>
              <v:shape id="_x0000_s102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Qv2q19oAAAANAQAADwAAAAAAAAABACAAAAAi&#10;AAAAZHJzL2Rvd25yZXYueG1sUEsBAhQAFAAAAAgAh07iQCPZHX3PAQAAmwMAAA4AAAAAAAAAAQAg&#10;AAAAKQEAAGRycy9lMm9Eb2MueG1sUEsFBgAAAAAGAAYAWQEAAGoFAAAAAA==&#10;">
                <v:fill on="t" focussize="0,0"/>
                <v:stroke on="f"/>
                <v:imagedata o:title=""/>
                <o:lock v:ext="edit" aspectratio="f"/>
                <v:textbox inset="0mm,0mm,0mm,0mm">
                  <w:txbxContent>
                    <w:p>
                      <w:pPr>
                        <w:pStyle w:val="29"/>
                      </w:pPr>
                      <w:r>
                        <w:rPr>
                          <w:rFonts w:hint="eastAsia"/>
                        </w:rPr>
                        <w:t>20XX-XX-XX实施</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8563610</wp:posOffset>
                </wp:positionV>
                <wp:extent cx="2019300" cy="312420"/>
                <wp:effectExtent l="0" t="0" r="0" b="11430"/>
                <wp:wrapNone/>
                <wp:docPr id="5" name="文本框 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30"/>
                            </w:pPr>
                            <w:r>
                              <w:rPr>
                                <w:rFonts w:hint="eastAsia"/>
                              </w:rPr>
                              <w:t>20XX-XX-XX发布</w:t>
                            </w:r>
                          </w:p>
                        </w:txbxContent>
                      </wps:txbx>
                      <wps:bodyPr lIns="0" tIns="0" rIns="0" bIns="0" upright="1"/>
                    </wps:wsp>
                  </a:graphicData>
                </a:graphic>
              </wp:anchor>
            </w:drawing>
          </mc:Choice>
          <mc:Fallback>
            <w:pict>
              <v:shape id="_x0000_s1026" o:spid="_x0000_s1026" o:spt="202" type="#_x0000_t202" style="position:absolute;left:0pt;margin-left:0pt;margin-top:674.3pt;height:24.6pt;width:159pt;mso-position-horizontal-relative:margin;mso-position-vertical-relative:margin;z-index:251662336;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82yojYAAAACgEAAA8AAAAAAAAAAQAgAAAAIgAA&#10;AGRycy9kb3ducmV2LnhtbFBLAQIUABQAAAAIAIdO4kDkCGjizwEAAJsDAAAOAAAAAAAAAAEAIAAA&#10;ACcBAABkcnMvZTJvRG9jLnhtbFBLBQYAAAAABgAGAFkBAABoBQAAAAA=&#10;">
                <v:fill on="t" focussize="0,0"/>
                <v:stroke on="f"/>
                <v:imagedata o:title=""/>
                <o:lock v:ext="edit" aspectratio="f"/>
                <v:textbox inset="0mm,0mm,0mm,0mm">
                  <w:txbxContent>
                    <w:p>
                      <w:pPr>
                        <w:pStyle w:val="30"/>
                      </w:pPr>
                      <w:r>
                        <w:rPr>
                          <w:rFonts w:hint="eastAsia"/>
                        </w:rPr>
                        <w:t>20XX-XX-XX发布</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3635375</wp:posOffset>
                </wp:positionV>
                <wp:extent cx="5969000" cy="4681220"/>
                <wp:effectExtent l="0" t="0" r="12700" b="5080"/>
                <wp:wrapNone/>
                <wp:docPr id="12" name="文本框 12"/>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31"/>
                              <w:rPr>
                                <w:rFonts w:hint="eastAsia"/>
                                <w:spacing w:val="40"/>
                                <w:szCs w:val="52"/>
                              </w:rPr>
                            </w:pPr>
                            <w:r>
                              <w:rPr>
                                <w:rFonts w:hint="eastAsia"/>
                                <w:spacing w:val="40"/>
                                <w:szCs w:val="52"/>
                                <w:lang w:val="en-US" w:eastAsia="zh-CN"/>
                              </w:rPr>
                              <w:t>温室气体</w:t>
                            </w:r>
                            <w:r>
                              <w:rPr>
                                <w:rFonts w:hint="eastAsia"/>
                                <w:spacing w:val="40"/>
                                <w:szCs w:val="52"/>
                              </w:rPr>
                              <w:t>排放核算与报告要求</w:t>
                            </w:r>
                          </w:p>
                          <w:p>
                            <w:pPr>
                              <w:pStyle w:val="31"/>
                              <w:rPr>
                                <w:rFonts w:hint="eastAsia"/>
                                <w:spacing w:val="40"/>
                                <w:szCs w:val="52"/>
                              </w:rPr>
                            </w:pPr>
                            <w:r>
                              <w:rPr>
                                <w:rFonts w:hint="eastAsia"/>
                                <w:spacing w:val="40"/>
                                <w:szCs w:val="52"/>
                              </w:rPr>
                              <w:t xml:space="preserve"> </w:t>
                            </w:r>
                            <w:r>
                              <w:rPr>
                                <w:rFonts w:hint="eastAsia"/>
                                <w:spacing w:val="40"/>
                                <w:szCs w:val="52"/>
                                <w:lang w:val="en-US" w:eastAsia="zh-CN"/>
                              </w:rPr>
                              <w:t>第X部分：</w:t>
                            </w:r>
                            <w:r>
                              <w:rPr>
                                <w:rFonts w:hint="eastAsia"/>
                                <w:spacing w:val="40"/>
                                <w:szCs w:val="52"/>
                              </w:rPr>
                              <w:t>建筑石膏生产企业</w:t>
                            </w:r>
                          </w:p>
                          <w:p>
                            <w:pPr>
                              <w:pStyle w:val="32"/>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Lines="50" w:line="360" w:lineRule="auto"/>
                              <w:textAlignment w:val="bottom"/>
                              <w:rPr>
                                <w:rFonts w:eastAsia="黑体"/>
                                <w:szCs w:val="28"/>
                              </w:rPr>
                            </w:pPr>
                            <w:r>
                              <w:rPr>
                                <w:rFonts w:eastAsia="黑体"/>
                                <w:szCs w:val="28"/>
                              </w:rPr>
                              <w:t>Requirements of the greenhouse gas emission</w:t>
                            </w:r>
                            <w:r>
                              <w:rPr>
                                <w:rFonts w:hint="eastAsia" w:eastAsia="黑体"/>
                                <w:szCs w:val="28"/>
                              </w:rPr>
                              <w:t>s</w:t>
                            </w:r>
                            <w:r>
                              <w:rPr>
                                <w:rFonts w:eastAsia="黑体"/>
                                <w:szCs w:val="28"/>
                              </w:rPr>
                              <w:t xml:space="preserve"> accounting and reporting—</w:t>
                            </w:r>
                          </w:p>
                          <w:p>
                            <w:pPr>
                              <w:pStyle w:val="32"/>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line="360" w:lineRule="auto"/>
                              <w:textAlignment w:val="bottom"/>
                              <w:rPr>
                                <w:rFonts w:eastAsia="黑体"/>
                                <w:szCs w:val="28"/>
                              </w:rPr>
                            </w:pPr>
                            <w:r>
                              <w:rPr>
                                <w:rFonts w:eastAsia="黑体"/>
                                <w:szCs w:val="28"/>
                              </w:rPr>
                              <w:t>Part X:</w:t>
                            </w:r>
                            <w:r>
                              <w:rPr>
                                <w:rFonts w:hint="eastAsia" w:eastAsia="黑体"/>
                                <w:szCs w:val="28"/>
                                <w:lang w:val="en-US" w:eastAsia="zh-CN"/>
                              </w:rPr>
                              <w:t>C</w:t>
                            </w:r>
                            <w:r>
                              <w:rPr>
                                <w:rFonts w:hint="eastAsia" w:eastAsia="黑体"/>
                                <w:szCs w:val="28"/>
                              </w:rPr>
                              <w:t>alcined gypsum enterprises</w:t>
                            </w:r>
                          </w:p>
                          <w:p>
                            <w:pPr>
                              <w:pStyle w:val="31"/>
                              <w:rPr>
                                <w:rFonts w:hint="eastAsia"/>
                              </w:rPr>
                            </w:pPr>
                          </w:p>
                          <w:p>
                            <w:pPr>
                              <w:pStyle w:val="33"/>
                              <w:rPr>
                                <w:rFonts w:hint="eastAsia" w:eastAsia="宋体"/>
                                <w:lang w:eastAsia="zh-CN"/>
                              </w:rPr>
                            </w:pPr>
                            <w:r>
                              <w:rPr>
                                <w:rFonts w:hint="eastAsia"/>
                                <w:lang w:val="en-US" w:eastAsia="zh-CN"/>
                              </w:rPr>
                              <w:t>标准草案</w:t>
                            </w:r>
                          </w:p>
                          <w:p>
                            <w:pPr>
                              <w:pStyle w:val="33"/>
                              <w:rPr>
                                <w:rFonts w:hint="eastAsia" w:eastAsia="宋体"/>
                                <w:lang w:val="en-US" w:eastAsia="zh-CN"/>
                              </w:rPr>
                            </w:pPr>
                            <w:r>
                              <w:rPr>
                                <w:rFonts w:hint="eastAsia"/>
                              </w:rPr>
                              <w:t>202</w:t>
                            </w:r>
                            <w:r>
                              <w:rPr>
                                <w:rFonts w:hint="eastAsia"/>
                                <w:lang w:val="en-US" w:eastAsia="zh-CN"/>
                              </w:rPr>
                              <w:t>4</w:t>
                            </w:r>
                            <w:r>
                              <w:t>.</w:t>
                            </w:r>
                            <w:r>
                              <w:rPr>
                                <w:rFonts w:hint="eastAsia"/>
                                <w:lang w:val="en-US" w:eastAsia="zh-CN"/>
                              </w:rPr>
                              <w:t>5</w:t>
                            </w:r>
                          </w:p>
                          <w:p>
                            <w:pPr>
                              <w:pStyle w:val="34"/>
                            </w:pPr>
                          </w:p>
                          <w:p>
                            <w:pPr>
                              <w:pStyle w:val="35"/>
                            </w:pPr>
                          </w:p>
                        </w:txbxContent>
                      </wps:txbx>
                      <wps:bodyPr lIns="0" tIns="0" rIns="0" bIns="0" upright="1"/>
                    </wps:wsp>
                  </a:graphicData>
                </a:graphic>
              </wp:anchor>
            </w:drawing>
          </mc:Choice>
          <mc:Fallback>
            <w:pict>
              <v:shape id="_x0000_s1026" o:spid="_x0000_s1026" o:spt="202" type="#_x0000_t202" style="position:absolute;left:0pt;margin-left:0pt;margin-top:286.25pt;height:368.6pt;width:470pt;mso-position-horizontal-relative:margin;mso-position-vertical-relative:margin;z-index:251661312;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FRXn3HYAAAACQEAAA8AAAAAAAAAAQAgAAAA&#10;IgAAAGRycy9kb3ducmV2LnhtbFBLAQIUABQAAAAIAIdO4kBydqIj0gEAAJ4DAAAOAAAAAAAAAAEA&#10;IAAAACcBAABkcnMvZTJvRG9jLnhtbFBLBQYAAAAABgAGAFkBAABrBQAAAAA=&#10;">
                <v:fill on="t" focussize="0,0"/>
                <v:stroke on="f"/>
                <v:imagedata o:title=""/>
                <o:lock v:ext="edit" aspectratio="f"/>
                <v:textbox inset="0mm,0mm,0mm,0mm">
                  <w:txbxContent>
                    <w:p>
                      <w:pPr>
                        <w:pStyle w:val="31"/>
                        <w:rPr>
                          <w:rFonts w:hint="eastAsia"/>
                          <w:spacing w:val="40"/>
                          <w:szCs w:val="52"/>
                        </w:rPr>
                      </w:pPr>
                      <w:r>
                        <w:rPr>
                          <w:rFonts w:hint="eastAsia"/>
                          <w:spacing w:val="40"/>
                          <w:szCs w:val="52"/>
                          <w:lang w:val="en-US" w:eastAsia="zh-CN"/>
                        </w:rPr>
                        <w:t>温室气体</w:t>
                      </w:r>
                      <w:r>
                        <w:rPr>
                          <w:rFonts w:hint="eastAsia"/>
                          <w:spacing w:val="40"/>
                          <w:szCs w:val="52"/>
                        </w:rPr>
                        <w:t>排放核算与报告要求</w:t>
                      </w:r>
                    </w:p>
                    <w:p>
                      <w:pPr>
                        <w:pStyle w:val="31"/>
                        <w:rPr>
                          <w:rFonts w:hint="eastAsia"/>
                          <w:spacing w:val="40"/>
                          <w:szCs w:val="52"/>
                        </w:rPr>
                      </w:pPr>
                      <w:r>
                        <w:rPr>
                          <w:rFonts w:hint="eastAsia"/>
                          <w:spacing w:val="40"/>
                          <w:szCs w:val="52"/>
                        </w:rPr>
                        <w:t xml:space="preserve"> </w:t>
                      </w:r>
                      <w:r>
                        <w:rPr>
                          <w:rFonts w:hint="eastAsia"/>
                          <w:spacing w:val="40"/>
                          <w:szCs w:val="52"/>
                          <w:lang w:val="en-US" w:eastAsia="zh-CN"/>
                        </w:rPr>
                        <w:t>第X部分：</w:t>
                      </w:r>
                      <w:r>
                        <w:rPr>
                          <w:rFonts w:hint="eastAsia"/>
                          <w:spacing w:val="40"/>
                          <w:szCs w:val="52"/>
                        </w:rPr>
                        <w:t>建筑石膏生产企业</w:t>
                      </w:r>
                    </w:p>
                    <w:p>
                      <w:pPr>
                        <w:pStyle w:val="32"/>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Lines="50" w:line="360" w:lineRule="auto"/>
                        <w:textAlignment w:val="bottom"/>
                        <w:rPr>
                          <w:rFonts w:eastAsia="黑体"/>
                          <w:szCs w:val="28"/>
                        </w:rPr>
                      </w:pPr>
                      <w:r>
                        <w:rPr>
                          <w:rFonts w:eastAsia="黑体"/>
                          <w:szCs w:val="28"/>
                        </w:rPr>
                        <w:t>Requirements of the greenhouse gas emission</w:t>
                      </w:r>
                      <w:r>
                        <w:rPr>
                          <w:rFonts w:hint="eastAsia" w:eastAsia="黑体"/>
                          <w:szCs w:val="28"/>
                        </w:rPr>
                        <w:t>s</w:t>
                      </w:r>
                      <w:r>
                        <w:rPr>
                          <w:rFonts w:eastAsia="黑体"/>
                          <w:szCs w:val="28"/>
                        </w:rPr>
                        <w:t xml:space="preserve"> accounting and reporting—</w:t>
                      </w:r>
                    </w:p>
                    <w:p>
                      <w:pPr>
                        <w:pStyle w:val="32"/>
                        <w:keepNext w:val="0"/>
                        <w:keepLines w:val="0"/>
                        <w:pageBreakBefore w:val="0"/>
                        <w:widowControl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line="360" w:lineRule="auto"/>
                        <w:textAlignment w:val="bottom"/>
                        <w:rPr>
                          <w:rFonts w:eastAsia="黑体"/>
                          <w:szCs w:val="28"/>
                        </w:rPr>
                      </w:pPr>
                      <w:r>
                        <w:rPr>
                          <w:rFonts w:eastAsia="黑体"/>
                          <w:szCs w:val="28"/>
                        </w:rPr>
                        <w:t>Part X:</w:t>
                      </w:r>
                      <w:r>
                        <w:rPr>
                          <w:rFonts w:hint="eastAsia" w:eastAsia="黑体"/>
                          <w:szCs w:val="28"/>
                          <w:lang w:val="en-US" w:eastAsia="zh-CN"/>
                        </w:rPr>
                        <w:t>C</w:t>
                      </w:r>
                      <w:r>
                        <w:rPr>
                          <w:rFonts w:hint="eastAsia" w:eastAsia="黑体"/>
                          <w:szCs w:val="28"/>
                        </w:rPr>
                        <w:t>alcined gypsum enterprises</w:t>
                      </w:r>
                    </w:p>
                    <w:p>
                      <w:pPr>
                        <w:pStyle w:val="31"/>
                        <w:rPr>
                          <w:rFonts w:hint="eastAsia"/>
                        </w:rPr>
                      </w:pPr>
                    </w:p>
                    <w:p>
                      <w:pPr>
                        <w:pStyle w:val="33"/>
                        <w:rPr>
                          <w:rFonts w:hint="eastAsia" w:eastAsia="宋体"/>
                          <w:lang w:eastAsia="zh-CN"/>
                        </w:rPr>
                      </w:pPr>
                      <w:r>
                        <w:rPr>
                          <w:rFonts w:hint="eastAsia"/>
                          <w:lang w:val="en-US" w:eastAsia="zh-CN"/>
                        </w:rPr>
                        <w:t>标准草案</w:t>
                      </w:r>
                    </w:p>
                    <w:p>
                      <w:pPr>
                        <w:pStyle w:val="33"/>
                        <w:rPr>
                          <w:rFonts w:hint="eastAsia" w:eastAsia="宋体"/>
                          <w:lang w:val="en-US" w:eastAsia="zh-CN"/>
                        </w:rPr>
                      </w:pPr>
                      <w:r>
                        <w:rPr>
                          <w:rFonts w:hint="eastAsia"/>
                        </w:rPr>
                        <w:t>202</w:t>
                      </w:r>
                      <w:r>
                        <w:rPr>
                          <w:rFonts w:hint="eastAsia"/>
                          <w:lang w:val="en-US" w:eastAsia="zh-CN"/>
                        </w:rPr>
                        <w:t>4</w:t>
                      </w:r>
                      <w:r>
                        <w:t>.</w:t>
                      </w:r>
                      <w:r>
                        <w:rPr>
                          <w:rFonts w:hint="eastAsia"/>
                          <w:lang w:val="en-US" w:eastAsia="zh-CN"/>
                        </w:rPr>
                        <w:t>5</w:t>
                      </w:r>
                    </w:p>
                    <w:p>
                      <w:pPr>
                        <w:pStyle w:val="34"/>
                      </w:pPr>
                    </w:p>
                    <w:p>
                      <w:pPr>
                        <w:pStyle w:val="35"/>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1401445</wp:posOffset>
                </wp:positionV>
                <wp:extent cx="6231255" cy="860425"/>
                <wp:effectExtent l="0" t="0" r="17145" b="15875"/>
                <wp:wrapNone/>
                <wp:docPr id="2" name="文本框 2"/>
                <wp:cNvGraphicFramePr/>
                <a:graphic xmlns:a="http://schemas.openxmlformats.org/drawingml/2006/main">
                  <a:graphicData uri="http://schemas.microsoft.com/office/word/2010/wordprocessingShape">
                    <wps:wsp>
                      <wps:cNvSpPr txBox="1"/>
                      <wps:spPr>
                        <a:xfrm>
                          <a:off x="0" y="0"/>
                          <a:ext cx="6231255" cy="860425"/>
                        </a:xfrm>
                        <a:prstGeom prst="rect">
                          <a:avLst/>
                        </a:prstGeom>
                        <a:solidFill>
                          <a:srgbClr val="FFFFFF"/>
                        </a:solidFill>
                        <a:ln>
                          <a:noFill/>
                        </a:ln>
                      </wps:spPr>
                      <wps:txbx>
                        <w:txbxContent>
                          <w:p>
                            <w:pPr>
                              <w:pStyle w:val="36"/>
                            </w:pPr>
                            <w:r>
                              <w:rPr>
                                <w:rFonts w:hint="eastAsia"/>
                                <w:lang w:val="en-US" w:eastAsia="zh-CN"/>
                              </w:rPr>
                              <w:t>GB</w:t>
                            </w:r>
                            <w:r>
                              <w:t>/</w:t>
                            </w:r>
                            <w:r>
                              <w:rPr>
                                <w:rFonts w:hint="eastAsia"/>
                              </w:rPr>
                              <w:t>T</w:t>
                            </w:r>
                            <w:r>
                              <w:t xml:space="preserve"> </w:t>
                            </w:r>
                            <w:r>
                              <w:rPr>
                                <w:rFonts w:hint="eastAsia"/>
                              </w:rPr>
                              <w:t>XXXX</w:t>
                            </w:r>
                            <w:r>
                              <w:t>—20</w:t>
                            </w:r>
                            <w:r>
                              <w:rPr>
                                <w:rFonts w:hint="eastAsia"/>
                              </w:rPr>
                              <w:t>XX</w:t>
                            </w:r>
                          </w:p>
                          <w:p>
                            <w:pPr>
                              <w:pStyle w:val="36"/>
                              <w:jc w:val="center"/>
                              <w:rPr>
                                <w:rFonts w:hint="eastAsia"/>
                              </w:rPr>
                            </w:pPr>
                          </w:p>
                          <w:p>
                            <w:pPr>
                              <w:pStyle w:val="36"/>
                              <w:jc w:val="center"/>
                              <w:rPr>
                                <w:rFonts w:hint="eastAsia"/>
                              </w:rPr>
                            </w:pPr>
                          </w:p>
                          <w:p>
                            <w:pPr>
                              <w:pStyle w:val="37"/>
                              <w:rPr>
                                <w:rFonts w:hint="eastAsia"/>
                              </w:rPr>
                            </w:pPr>
                          </w:p>
                          <w:p>
                            <w:pPr>
                              <w:pStyle w:val="37"/>
                              <w:rPr>
                                <w:rFonts w:hint="eastAsia"/>
                              </w:rPr>
                            </w:pPr>
                          </w:p>
                          <w:p>
                            <w:pPr>
                              <w:pStyle w:val="36"/>
                              <w:rPr>
                                <w:rFonts w:hint="eastAsia"/>
                              </w:rPr>
                            </w:pPr>
                          </w:p>
                          <w:p>
                            <w:pPr>
                              <w:pStyle w:val="36"/>
                              <w:rPr>
                                <w:rFonts w:hint="eastAsia"/>
                              </w:rPr>
                            </w:pPr>
                          </w:p>
                          <w:p>
                            <w:pPr>
                              <w:pStyle w:val="36"/>
                              <w:rPr>
                                <w:rFonts w:hint="eastAsia"/>
                              </w:rPr>
                            </w:pPr>
                          </w:p>
                          <w:p>
                            <w:pPr>
                              <w:pStyle w:val="36"/>
                              <w:rPr>
                                <w:rFonts w:hint="eastAsia"/>
                              </w:rPr>
                            </w:pPr>
                          </w:p>
                        </w:txbxContent>
                      </wps:txbx>
                      <wps:bodyPr lIns="0" tIns="0" rIns="0" bIns="0" upright="1"/>
                    </wps:wsp>
                  </a:graphicData>
                </a:graphic>
              </wp:anchor>
            </w:drawing>
          </mc:Choice>
          <mc:Fallback>
            <w:pict>
              <v:shape id="_x0000_s1026" o:spid="_x0000_s1026" o:spt="202" type="#_x0000_t202" style="position:absolute;left:0pt;margin-left:0pt;margin-top:110.35pt;height:67.75pt;width:490.65pt;mso-position-horizontal-relative:margin;mso-position-vertical-relative:margin;z-index:251660288;mso-width-relative:page;mso-height-relative:page;" fillcolor="#FFFFFF" filled="t" stroked="f" coordsize="21600,21600" o:gfxdata="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i6HMNtgAAAAIAQAADwAAAAAAAAABACAAAAAiAAAA&#10;ZHJzL2Rvd25yZXYueG1sUEsBAhQAFAAAAAgAh07iQE4ZsxjOAQAAmwMAAA4AAAAAAAAAAQAgAAAA&#10;JwEAAGRycy9lMm9Eb2MueG1sUEsFBgAAAAAGAAYAWQEAAGcFAAAAAA==&#10;">
                <v:fill on="t" focussize="0,0"/>
                <v:stroke on="f"/>
                <v:imagedata o:title=""/>
                <o:lock v:ext="edit" aspectratio="f"/>
                <v:textbox inset="0mm,0mm,0mm,0mm">
                  <w:txbxContent>
                    <w:p>
                      <w:pPr>
                        <w:pStyle w:val="36"/>
                      </w:pPr>
                      <w:r>
                        <w:rPr>
                          <w:rFonts w:hint="eastAsia"/>
                          <w:lang w:val="en-US" w:eastAsia="zh-CN"/>
                        </w:rPr>
                        <w:t>GB</w:t>
                      </w:r>
                      <w:r>
                        <w:t>/</w:t>
                      </w:r>
                      <w:r>
                        <w:rPr>
                          <w:rFonts w:hint="eastAsia"/>
                        </w:rPr>
                        <w:t>T</w:t>
                      </w:r>
                      <w:r>
                        <w:t xml:space="preserve"> </w:t>
                      </w:r>
                      <w:r>
                        <w:rPr>
                          <w:rFonts w:hint="eastAsia"/>
                        </w:rPr>
                        <w:t>XXXX</w:t>
                      </w:r>
                      <w:r>
                        <w:t>—20</w:t>
                      </w:r>
                      <w:r>
                        <w:rPr>
                          <w:rFonts w:hint="eastAsia"/>
                        </w:rPr>
                        <w:t>XX</w:t>
                      </w:r>
                    </w:p>
                    <w:p>
                      <w:pPr>
                        <w:pStyle w:val="36"/>
                        <w:jc w:val="center"/>
                        <w:rPr>
                          <w:rFonts w:hint="eastAsia"/>
                        </w:rPr>
                      </w:pPr>
                    </w:p>
                    <w:p>
                      <w:pPr>
                        <w:pStyle w:val="36"/>
                        <w:jc w:val="center"/>
                        <w:rPr>
                          <w:rFonts w:hint="eastAsia"/>
                        </w:rPr>
                      </w:pPr>
                    </w:p>
                    <w:p>
                      <w:pPr>
                        <w:pStyle w:val="37"/>
                        <w:rPr>
                          <w:rFonts w:hint="eastAsia"/>
                        </w:rPr>
                      </w:pPr>
                    </w:p>
                    <w:p>
                      <w:pPr>
                        <w:pStyle w:val="37"/>
                        <w:rPr>
                          <w:rFonts w:hint="eastAsia"/>
                        </w:rPr>
                      </w:pPr>
                    </w:p>
                    <w:p>
                      <w:pPr>
                        <w:pStyle w:val="36"/>
                        <w:rPr>
                          <w:rFonts w:hint="eastAsia"/>
                        </w:rPr>
                      </w:pPr>
                    </w:p>
                    <w:p>
                      <w:pPr>
                        <w:pStyle w:val="36"/>
                        <w:rPr>
                          <w:rFonts w:hint="eastAsia"/>
                        </w:rPr>
                      </w:pPr>
                    </w:p>
                    <w:p>
                      <w:pPr>
                        <w:pStyle w:val="36"/>
                        <w:rPr>
                          <w:rFonts w:hint="eastAsia"/>
                        </w:rPr>
                      </w:pPr>
                    </w:p>
                    <w:p>
                      <w:pPr>
                        <w:pStyle w:val="36"/>
                        <w:rPr>
                          <w:rFonts w:hint="eastAsia"/>
                        </w:rPr>
                      </w:pPr>
                    </w:p>
                  </w:txbxContent>
                </v:textbox>
                <w10:anchorlock/>
              </v:shap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-635000</wp:posOffset>
                </wp:positionH>
                <wp:positionV relativeFrom="margin">
                  <wp:posOffset>996950</wp:posOffset>
                </wp:positionV>
                <wp:extent cx="7124700" cy="391160"/>
                <wp:effectExtent l="0" t="0" r="0" b="8890"/>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508635" y="1845310"/>
                          <a:ext cx="7124700" cy="391160"/>
                        </a:xfrm>
                        <a:prstGeom prst="rect">
                          <a:avLst/>
                        </a:prstGeom>
                        <a:solidFill>
                          <a:srgbClr val="FFFFFF"/>
                        </a:solidFill>
                        <a:ln>
                          <a:noFill/>
                        </a:ln>
                        <a:effectLst/>
                      </wps:spPr>
                      <wps:txbx>
                        <w:txbxContent>
                          <w:p>
                            <w:pPr>
                              <w:pStyle w:val="39"/>
                              <w:rPr>
                                <w:spacing w:val="216"/>
                              </w:rPr>
                            </w:pPr>
                            <w:r>
                              <w:rPr>
                                <w:rFonts w:hint="eastAsia"/>
                                <w:spacing w:val="130"/>
                                <w:szCs w:val="52"/>
                              </w:rPr>
                              <w:t>中华人民共和国</w:t>
                            </w:r>
                            <w:r>
                              <w:rPr>
                                <w:rFonts w:hint="eastAsia"/>
                                <w:spacing w:val="130"/>
                                <w:szCs w:val="52"/>
                                <w:lang w:val="en-US" w:eastAsia="zh-CN"/>
                              </w:rPr>
                              <w:t>国家</w:t>
                            </w:r>
                            <w:r>
                              <w:rPr>
                                <w:rFonts w:hint="eastAsia"/>
                                <w:spacing w:val="130"/>
                                <w:szCs w:val="52"/>
                              </w:rPr>
                              <w:t>标</w:t>
                            </w:r>
                            <w:r>
                              <w:rPr>
                                <w:rFonts w:hint="eastAsia"/>
                                <w:szCs w:val="52"/>
                              </w:rPr>
                              <w:t>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0pt;margin-top:78.5pt;height:30.8pt;width:561pt;mso-position-horizontal-relative:margin;mso-position-vertical-relative:margin;z-index:251668480;mso-width-relative:page;mso-height-relative:page;" fillcolor="#FFFFFF" filled="t" stroked="f" coordsize="21600,21600" o:gfxdata="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t6uLQ2gAAAA0BAAAPAAAAAAAAAAEAIAAAACIAAABkcnMvZG93bnJl&#10;di54bWxQSwECFAAUAAAACACHTuJA1Kin7zQCAABJBAAADgAAAAAAAAABACAAAAApAQAAZHJzL2Uy&#10;b0RvYy54bWxQSwUGAAAAAAYABgBZAQAAzwUAAAAA&#10;">
                <v:fill on="t" focussize="0,0"/>
                <v:stroke on="f"/>
                <v:imagedata o:title=""/>
                <o:lock v:ext="edit" aspectratio="f"/>
                <v:textbox inset="0mm,0mm,0mm,0mm">
                  <w:txbxContent>
                    <w:p>
                      <w:pPr>
                        <w:pStyle w:val="39"/>
                        <w:rPr>
                          <w:spacing w:val="216"/>
                        </w:rPr>
                      </w:pPr>
                      <w:r>
                        <w:rPr>
                          <w:rFonts w:hint="eastAsia"/>
                          <w:spacing w:val="130"/>
                          <w:szCs w:val="52"/>
                        </w:rPr>
                        <w:t>中华人民共和国</w:t>
                      </w:r>
                      <w:r>
                        <w:rPr>
                          <w:rFonts w:hint="eastAsia"/>
                          <w:spacing w:val="130"/>
                          <w:szCs w:val="52"/>
                          <w:lang w:val="en-US" w:eastAsia="zh-CN"/>
                        </w:rPr>
                        <w:t>国家</w:t>
                      </w:r>
                      <w:r>
                        <w:rPr>
                          <w:rFonts w:hint="eastAsia"/>
                          <w:spacing w:val="130"/>
                          <w:szCs w:val="52"/>
                        </w:rPr>
                        <w:t>标</w:t>
                      </w:r>
                      <w:r>
                        <w:rPr>
                          <w:rFonts w:hint="eastAsia"/>
                          <w:szCs w:val="52"/>
                        </w:rPr>
                        <w:t>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12700" b="8890"/>
                <wp:wrapNone/>
                <wp:docPr id="10" name="文本框 10"/>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pPr>
                              <w:pStyle w:val="40"/>
                              <w:rPr>
                                <w:rFonts w:hint="default" w:eastAsia="黑体"/>
                                <w:lang w:val="en-US" w:eastAsia="zh-CN"/>
                              </w:rPr>
                            </w:pPr>
                            <w:r>
                              <w:t xml:space="preserve">ICS </w:t>
                            </w:r>
                            <w:r>
                              <w:rPr>
                                <w:rFonts w:hint="eastAsia"/>
                                <w:lang w:val="en-US" w:eastAsia="zh-CN"/>
                              </w:rPr>
                              <w:t>13</w:t>
                            </w:r>
                            <w:r>
                              <w:t>.</w:t>
                            </w:r>
                            <w:r>
                              <w:rPr>
                                <w:rFonts w:hint="eastAsia"/>
                                <w:lang w:val="en-US" w:eastAsia="zh-CN"/>
                              </w:rPr>
                              <w:t>020</w:t>
                            </w:r>
                            <w:r>
                              <w:t>.</w:t>
                            </w:r>
                            <w:r>
                              <w:rPr>
                                <w:rFonts w:hint="eastAsia"/>
                                <w:lang w:val="en-US" w:eastAsia="zh-CN"/>
                              </w:rPr>
                              <w:t>10</w:t>
                            </w:r>
                          </w:p>
                          <w:p>
                            <w:pPr>
                              <w:pStyle w:val="40"/>
                            </w:pPr>
                          </w:p>
                          <w:p>
                            <w:pPr>
                              <w:pStyle w:val="40"/>
                              <w:rPr>
                                <w:rFonts w:hint="default" w:eastAsia="黑体"/>
                                <w:lang w:val="en-US" w:eastAsia="zh-CN"/>
                              </w:rPr>
                            </w:pPr>
                            <w:r>
                              <w:rPr>
                                <w:rFonts w:hint="eastAsia"/>
                              </w:rPr>
                              <w:t xml:space="preserve">CCS </w:t>
                            </w:r>
                            <w:r>
                              <w:rPr>
                                <w:rFonts w:hint="eastAsia"/>
                                <w:lang w:val="en-US" w:eastAsia="zh-CN"/>
                              </w:rPr>
                              <w:t>Z</w:t>
                            </w:r>
                            <w:r>
                              <w:t xml:space="preserve"> </w:t>
                            </w:r>
                            <w:r>
                              <w:rPr>
                                <w:rFonts w:hint="eastAsia"/>
                                <w:lang w:val="en-US" w:eastAsia="zh-CN"/>
                              </w:rPr>
                              <w:t>04</w:t>
                            </w:r>
                          </w:p>
                          <w:p>
                            <w:pPr>
                              <w:pStyle w:val="40"/>
                            </w:pPr>
                          </w:p>
                        </w:txbxContent>
                      </wps:txbx>
                      <wps:bodyPr lIns="0" tIns="0" rIns="0" bIns="0" upright="1"/>
                    </wps:wsp>
                  </a:graphicData>
                </a:graphic>
              </wp:anchor>
            </w:drawing>
          </mc:Choice>
          <mc:Fallback>
            <w:pict>
              <v:shape id="_x0000_s1026" o:spid="_x0000_s1026" o:spt="202" type="#_x0000_t202" style="position:absolute;left:0pt;margin-left:0pt;margin-top:0pt;height:51.8pt;width:200pt;mso-position-horizontal-relative:margin;mso-position-vertical-relative:margin;z-index:251659264;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F7Mvg0wAAAAUBAAAPAAAAAAAAAAEAIAAAACIAAABkcnMv&#10;ZG93bnJldi54bWxQSwECFAAUAAAACACHTuJAyhTdLc8BAACdAwAADgAAAAAAAAABACAAAAAiAQAA&#10;ZHJzL2Uyb0RvYy54bWxQSwUGAAAAAAYABgBZAQAAYwUAAAAA&#10;">
                <v:fill on="t" focussize="0,0"/>
                <v:stroke on="f"/>
                <v:imagedata o:title=""/>
                <o:lock v:ext="edit" aspectratio="f"/>
                <v:textbox inset="0mm,0mm,0mm,0mm">
                  <w:txbxContent>
                    <w:p>
                      <w:pPr>
                        <w:pStyle w:val="40"/>
                        <w:rPr>
                          <w:rFonts w:hint="default" w:eastAsia="黑体"/>
                          <w:lang w:val="en-US" w:eastAsia="zh-CN"/>
                        </w:rPr>
                      </w:pPr>
                      <w:r>
                        <w:t xml:space="preserve">ICS </w:t>
                      </w:r>
                      <w:r>
                        <w:rPr>
                          <w:rFonts w:hint="eastAsia"/>
                          <w:lang w:val="en-US" w:eastAsia="zh-CN"/>
                        </w:rPr>
                        <w:t>13</w:t>
                      </w:r>
                      <w:r>
                        <w:t>.</w:t>
                      </w:r>
                      <w:r>
                        <w:rPr>
                          <w:rFonts w:hint="eastAsia"/>
                          <w:lang w:val="en-US" w:eastAsia="zh-CN"/>
                        </w:rPr>
                        <w:t>020</w:t>
                      </w:r>
                      <w:r>
                        <w:t>.</w:t>
                      </w:r>
                      <w:r>
                        <w:rPr>
                          <w:rFonts w:hint="eastAsia"/>
                          <w:lang w:val="en-US" w:eastAsia="zh-CN"/>
                        </w:rPr>
                        <w:t>10</w:t>
                      </w:r>
                    </w:p>
                    <w:p>
                      <w:pPr>
                        <w:pStyle w:val="40"/>
                      </w:pPr>
                    </w:p>
                    <w:p>
                      <w:pPr>
                        <w:pStyle w:val="40"/>
                        <w:rPr>
                          <w:rFonts w:hint="default" w:eastAsia="黑体"/>
                          <w:lang w:val="en-US" w:eastAsia="zh-CN"/>
                        </w:rPr>
                      </w:pPr>
                      <w:r>
                        <w:rPr>
                          <w:rFonts w:hint="eastAsia"/>
                        </w:rPr>
                        <w:t xml:space="preserve">CCS </w:t>
                      </w:r>
                      <w:r>
                        <w:rPr>
                          <w:rFonts w:hint="eastAsia"/>
                          <w:lang w:val="en-US" w:eastAsia="zh-CN"/>
                        </w:rPr>
                        <w:t>Z</w:t>
                      </w:r>
                      <w:r>
                        <w:t xml:space="preserve"> </w:t>
                      </w:r>
                      <w:r>
                        <w:rPr>
                          <w:rFonts w:hint="eastAsia"/>
                          <w:lang w:val="en-US" w:eastAsia="zh-CN"/>
                        </w:rPr>
                        <w:t>04</w:t>
                      </w:r>
                    </w:p>
                    <w:p>
                      <w:pPr>
                        <w:pStyle w:val="40"/>
                      </w:pPr>
                    </w:p>
                  </w:txbxContent>
                </v:textbox>
                <w10:anchorlock/>
              </v:shape>
            </w:pict>
          </mc:Fallback>
        </mc:AlternateContent>
      </w:r>
      <w:bookmarkEnd w:id="0"/>
    </w:p>
    <w:p>
      <w:pPr>
        <w:pStyle w:val="18"/>
        <w:ind w:firstLine="420"/>
        <w:sectPr>
          <w:footerReference r:id="rId7" w:type="first"/>
          <w:headerReference r:id="rId5" w:type="default"/>
          <w:footerReference r:id="rId6" w:type="default"/>
          <w:pgSz w:w="11907" w:h="16839"/>
          <w:pgMar w:top="1418" w:right="1134" w:bottom="1134" w:left="1418" w:header="1418" w:footer="851" w:gutter="0"/>
          <w:pgNumType w:start="1" w:chapStyle="1"/>
          <w:cols w:space="720" w:num="1"/>
          <w:titlePg/>
          <w:docGrid w:linePitch="312" w:charSpace="0"/>
        </w:sectPr>
      </w:pPr>
      <w:r>
        <w:rPr>
          <w:sz w:val="21"/>
        </w:rPr>
        <mc:AlternateContent>
          <mc:Choice Requires="wps">
            <w:drawing>
              <wp:anchor distT="0" distB="0" distL="114300" distR="114300" simplePos="0" relativeHeight="251669504" behindDoc="0" locked="0" layoutInCell="1" allowOverlap="1">
                <wp:simplePos x="0" y="0"/>
                <wp:positionH relativeFrom="column">
                  <wp:posOffset>4258310</wp:posOffset>
                </wp:positionH>
                <wp:positionV relativeFrom="paragraph">
                  <wp:posOffset>8874760</wp:posOffset>
                </wp:positionV>
                <wp:extent cx="747395" cy="344805"/>
                <wp:effectExtent l="0" t="0" r="0" b="0"/>
                <wp:wrapNone/>
                <wp:docPr id="11" name="文本框 11"/>
                <wp:cNvGraphicFramePr/>
                <a:graphic xmlns:a="http://schemas.openxmlformats.org/drawingml/2006/main">
                  <a:graphicData uri="http://schemas.microsoft.com/office/word/2010/wordprocessingShape">
                    <wps:wsp>
                      <wps:cNvSpPr txBox="1"/>
                      <wps:spPr>
                        <a:xfrm>
                          <a:off x="6081395" y="10126345"/>
                          <a:ext cx="747395" cy="3448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left="0" w:leftChars="0" w:firstLine="0" w:firstLineChars="0"/>
                              <w:rPr>
                                <w:rFonts w:hint="eastAsia" w:eastAsia="仿宋"/>
                                <w:lang w:val="en-US" w:eastAsia="zh-CN"/>
                              </w:rPr>
                            </w:pPr>
                            <w:r>
                              <w:rPr>
                                <w:rStyle w:val="28"/>
                                <w:rFonts w:hint="eastAsia"/>
                                <w:szCs w:val="22"/>
                                <w:lang w:val="en-US" w:eastAsia="zh-CN"/>
                              </w:rPr>
                              <w:t>发布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35.3pt;margin-top:698.8pt;height:27.15pt;width:58.85pt;z-index:251669504;mso-width-relative:page;mso-height-relative:page;" filled="f" stroked="f" coordsize="21600,21600" o:gfxdata="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sBtRB3QAAAA0BAAAPAAAAAAAA&#10;AAEAIAAAACIAAABkcnMvZG93bnJldi54bWxQSwECFAAUAAAACACHTuJAVLfRpEYCAAB0BAAADgAA&#10;AAAAAAABACAAAAAsAQAAZHJzL2Uyb0RvYy54bWxQSwUGAAAAAAYABgBZAQAA5AUAAAAA&#10;">
                <v:fill on="f" focussize="0,0"/>
                <v:stroke on="f" weight="0.5pt"/>
                <v:imagedata o:title=""/>
                <o:lock v:ext="edit" aspectratio="f"/>
                <v:textbox>
                  <w:txbxContent>
                    <w:p>
                      <w:pPr>
                        <w:ind w:left="0" w:leftChars="0" w:firstLine="0" w:firstLineChars="0"/>
                        <w:rPr>
                          <w:rFonts w:hint="eastAsia" w:eastAsia="仿宋"/>
                          <w:lang w:val="en-US" w:eastAsia="zh-CN"/>
                        </w:rPr>
                      </w:pPr>
                      <w:r>
                        <w:rPr>
                          <w:rStyle w:val="28"/>
                          <w:rFonts w:hint="eastAsia"/>
                          <w:szCs w:val="22"/>
                          <w:lang w:val="en-US" w:eastAsia="zh-CN"/>
                        </w:rPr>
                        <w:t>发布</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-636270</wp:posOffset>
                </wp:positionH>
                <wp:positionV relativeFrom="paragraph">
                  <wp:posOffset>1967230</wp:posOffset>
                </wp:positionV>
                <wp:extent cx="7200900" cy="635"/>
                <wp:effectExtent l="0" t="0" r="0" b="0"/>
                <wp:wrapNone/>
                <wp:docPr id="13" name="直接连接符 13"/>
                <wp:cNvGraphicFramePr/>
                <a:graphic xmlns:a="http://schemas.openxmlformats.org/drawingml/2006/main">
                  <a:graphicData uri="http://schemas.microsoft.com/office/word/2010/wordprocessingShape">
                    <wps:wsp>
                      <wps:cNvCnPr/>
                      <wps:spPr>
                        <a:xfrm>
                          <a:off x="0" y="0"/>
                          <a:ext cx="7200900" cy="635"/>
                        </a:xfrm>
                        <a:prstGeom prst="line">
                          <a:avLst/>
                        </a:prstGeom>
                        <a:ln w="12700" cap="flat" cmpd="sng">
                          <a:solidFill>
                            <a:srgbClr val="800008"/>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0.1pt;margin-top:154.9pt;height:0.05pt;width:567pt;z-index:251665408;mso-width-relative:page;mso-height-relative:page;" filled="f" stroked="t" coordsize="21600,21600" o:gfxdata="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V8jfdgAAAANAQAADwAAAAAAAAABACAAAAAiAAAAZHJzL2Rvd25yZXYueG1s&#10;UEsBAhQAFAAAAAgAh07iQJmebID4AQAA6QMAAA4AAAAAAAAAAQAgAAAAJwEAAGRycy9lMm9Eb2Mu&#10;eG1sUEsFBgAAAAAGAAYAWQEAAJEFAAAAAA==&#10;">
                <v:fill on="f" focussize="0,0"/>
                <v:stroke weight="1pt" color="#800008" joinstyle="round"/>
                <v:imagedata o:title=""/>
                <o:lock v:ext="edit" aspectratio="f"/>
              </v:line>
            </w:pict>
          </mc:Fallback>
        </mc:AlternateContent>
      </w:r>
    </w:p>
    <w:p>
      <w:pPr>
        <w:pStyle w:val="44"/>
        <w:ind w:firstLine="420"/>
        <w:rPr>
          <w:rFonts w:ascii="Times New Roman"/>
        </w:rPr>
      </w:pPr>
    </w:p>
    <w:p>
      <w:pPr>
        <w:rPr>
          <w:rFonts w:hint="eastAsia"/>
        </w:rPr>
      </w:pPr>
      <w:r>
        <w:rPr>
          <w:rFonts w:hint="eastAsia"/>
        </w:rPr>
        <w:br w:type="page"/>
      </w:r>
    </w:p>
    <w:p>
      <w:pPr>
        <w:pStyle w:val="43"/>
        <w:spacing w:after="468"/>
      </w:pPr>
      <w:r>
        <w:rPr>
          <w:spacing w:val="320"/>
        </w:rPr>
        <w:t>前</w:t>
      </w:r>
      <w:r>
        <w:t>言</w:t>
      </w:r>
    </w:p>
    <w:p>
      <w:pPr>
        <w:pStyle w:val="44"/>
        <w:ind w:firstLine="420"/>
        <w:rPr>
          <w:rFonts w:ascii="Times New Roman"/>
        </w:rPr>
      </w:pPr>
      <w:r>
        <w:rPr>
          <w:rFonts w:ascii="Times New Roman"/>
        </w:rPr>
        <w:t>本文件按照GB/T 1.1—2020《标准化工作导则  第1部分：标准化文件的结构和起草规则》的规定起草。</w:t>
      </w:r>
    </w:p>
    <w:p>
      <w:pPr>
        <w:pStyle w:val="44"/>
        <w:ind w:firstLine="420"/>
        <w:rPr>
          <w:rFonts w:ascii="Times New Roman"/>
        </w:rPr>
      </w:pPr>
      <w:r>
        <w:rPr>
          <w:rFonts w:ascii="Times New Roman"/>
        </w:rPr>
        <w:t>本文件是GB/T 32151《</w:t>
      </w:r>
      <w:r>
        <w:rPr>
          <w:rFonts w:hint="eastAsia" w:ascii="Times New Roman"/>
        </w:rPr>
        <w:t>温室气体</w:t>
      </w:r>
      <w:r>
        <w:rPr>
          <w:rFonts w:ascii="Times New Roman"/>
        </w:rPr>
        <w:t>排放核算与报告要求》的第X部分。</w:t>
      </w:r>
      <w:r>
        <w:rPr>
          <w:rFonts w:hint="eastAsia" w:ascii="Times New Roman"/>
        </w:rPr>
        <w:t>GB/T 32151已经发布了以下部分</w:t>
      </w:r>
      <w:r>
        <w:rPr>
          <w:rFonts w:ascii="Times New Roman"/>
        </w:rPr>
        <w:t>：</w:t>
      </w:r>
    </w:p>
    <w:p>
      <w:pPr>
        <w:pStyle w:val="44"/>
        <w:ind w:firstLine="420"/>
        <w:rPr>
          <w:rFonts w:ascii="Times New Roman"/>
        </w:rPr>
      </w:pPr>
      <w:r>
        <w:rPr>
          <w:rFonts w:ascii="Times New Roman"/>
        </w:rPr>
        <w:t>——第1部分：发电企业；</w:t>
      </w:r>
    </w:p>
    <w:p>
      <w:pPr>
        <w:pStyle w:val="44"/>
        <w:ind w:firstLine="420"/>
        <w:rPr>
          <w:rFonts w:ascii="Times New Roman"/>
        </w:rPr>
      </w:pPr>
      <w:r>
        <w:rPr>
          <w:rFonts w:ascii="Times New Roman"/>
        </w:rPr>
        <w:t>——第2部分：电网企业；</w:t>
      </w:r>
    </w:p>
    <w:p>
      <w:pPr>
        <w:pStyle w:val="44"/>
        <w:ind w:firstLine="420"/>
        <w:rPr>
          <w:rFonts w:ascii="Times New Roman"/>
        </w:rPr>
      </w:pPr>
      <w:r>
        <w:rPr>
          <w:rFonts w:ascii="Times New Roman"/>
        </w:rPr>
        <w:t>——第3部分：镁冶炼企业；</w:t>
      </w:r>
    </w:p>
    <w:p>
      <w:pPr>
        <w:pStyle w:val="44"/>
        <w:ind w:firstLine="420"/>
        <w:rPr>
          <w:rFonts w:ascii="Times New Roman"/>
        </w:rPr>
      </w:pPr>
      <w:r>
        <w:rPr>
          <w:rFonts w:ascii="Times New Roman"/>
        </w:rPr>
        <w:t>——第4部分：铝冶炼企业；</w:t>
      </w:r>
    </w:p>
    <w:p>
      <w:pPr>
        <w:pStyle w:val="44"/>
        <w:ind w:firstLine="420"/>
        <w:rPr>
          <w:rFonts w:ascii="Times New Roman"/>
        </w:rPr>
      </w:pPr>
      <w:r>
        <w:rPr>
          <w:rFonts w:ascii="Times New Roman"/>
        </w:rPr>
        <w:t>——第5部分：钢铁生产企业；</w:t>
      </w:r>
    </w:p>
    <w:p>
      <w:pPr>
        <w:pStyle w:val="44"/>
        <w:ind w:firstLine="420"/>
        <w:rPr>
          <w:rFonts w:ascii="Times New Roman"/>
        </w:rPr>
      </w:pPr>
      <w:r>
        <w:rPr>
          <w:rFonts w:ascii="Times New Roman"/>
        </w:rPr>
        <w:t>——第6部分：民用航空企业；</w:t>
      </w:r>
    </w:p>
    <w:p>
      <w:pPr>
        <w:pStyle w:val="44"/>
        <w:ind w:firstLine="420"/>
        <w:rPr>
          <w:rFonts w:ascii="Times New Roman"/>
        </w:rPr>
      </w:pPr>
      <w:r>
        <w:rPr>
          <w:rFonts w:ascii="Times New Roman"/>
        </w:rPr>
        <w:t>——第7部分：平板玻璃生产企业；</w:t>
      </w:r>
    </w:p>
    <w:p>
      <w:pPr>
        <w:pStyle w:val="44"/>
        <w:ind w:firstLine="420"/>
        <w:rPr>
          <w:rFonts w:ascii="Times New Roman"/>
        </w:rPr>
      </w:pPr>
      <w:r>
        <w:rPr>
          <w:rFonts w:ascii="Times New Roman"/>
        </w:rPr>
        <w:t>——第8部分：水泥生产企业；</w:t>
      </w:r>
    </w:p>
    <w:p>
      <w:pPr>
        <w:pStyle w:val="44"/>
        <w:ind w:firstLine="420"/>
        <w:rPr>
          <w:rFonts w:ascii="Times New Roman"/>
        </w:rPr>
      </w:pPr>
      <w:r>
        <w:rPr>
          <w:rFonts w:ascii="Times New Roman"/>
        </w:rPr>
        <w:t>——第9部分：陶瓷生产企业；</w:t>
      </w:r>
    </w:p>
    <w:p>
      <w:pPr>
        <w:pStyle w:val="44"/>
        <w:ind w:firstLine="420"/>
        <w:rPr>
          <w:rFonts w:ascii="Times New Roman"/>
        </w:rPr>
      </w:pPr>
      <w:r>
        <w:rPr>
          <w:rFonts w:ascii="Times New Roman"/>
        </w:rPr>
        <w:t>——第10部分：化工生产企业；</w:t>
      </w:r>
    </w:p>
    <w:p>
      <w:pPr>
        <w:pStyle w:val="44"/>
        <w:ind w:firstLine="420"/>
        <w:rPr>
          <w:rFonts w:ascii="Times New Roman"/>
        </w:rPr>
      </w:pPr>
      <w:r>
        <w:rPr>
          <w:rFonts w:ascii="Times New Roman"/>
        </w:rPr>
        <w:t>——第11部分：煤炭生产企业；</w:t>
      </w:r>
    </w:p>
    <w:p>
      <w:pPr>
        <w:pStyle w:val="44"/>
        <w:ind w:firstLine="420"/>
        <w:rPr>
          <w:rFonts w:ascii="Times New Roman"/>
        </w:rPr>
      </w:pPr>
      <w:r>
        <w:rPr>
          <w:rFonts w:ascii="Times New Roman"/>
        </w:rPr>
        <w:t>——第12部分：纺织服装企业；</w:t>
      </w:r>
    </w:p>
    <w:p>
      <w:pPr>
        <w:pStyle w:val="44"/>
        <w:ind w:firstLine="420"/>
        <w:rPr>
          <w:rFonts w:ascii="Times New Roman"/>
        </w:rPr>
      </w:pPr>
      <w:r>
        <w:rPr>
          <w:rFonts w:ascii="Times New Roman"/>
        </w:rPr>
        <w:t>——</w:t>
      </w:r>
      <w:r>
        <w:rPr>
          <w:rFonts w:hint="eastAsia" w:ascii="Times New Roman"/>
        </w:rPr>
        <w:t>第13部分：独立焦化企业</w:t>
      </w:r>
      <w:r>
        <w:rPr>
          <w:rFonts w:ascii="Times New Roman"/>
        </w:rPr>
        <w:t>；</w:t>
      </w:r>
    </w:p>
    <w:p>
      <w:pPr>
        <w:pStyle w:val="44"/>
        <w:ind w:firstLine="420"/>
        <w:rPr>
          <w:rFonts w:ascii="Times New Roman"/>
        </w:rPr>
      </w:pPr>
      <w:r>
        <w:rPr>
          <w:rFonts w:ascii="Times New Roman"/>
        </w:rPr>
        <w:t>——</w:t>
      </w:r>
      <w:r>
        <w:rPr>
          <w:rFonts w:hint="eastAsia" w:ascii="Times New Roman"/>
        </w:rPr>
        <w:t>第14部分：其他有色金属冶炼和压延加工企业</w:t>
      </w:r>
      <w:r>
        <w:rPr>
          <w:rFonts w:ascii="Times New Roman"/>
        </w:rPr>
        <w:t>；</w:t>
      </w:r>
    </w:p>
    <w:p>
      <w:pPr>
        <w:pStyle w:val="44"/>
        <w:ind w:firstLine="420"/>
        <w:rPr>
          <w:rFonts w:ascii="Times New Roman"/>
        </w:rPr>
      </w:pPr>
      <w:r>
        <w:rPr>
          <w:rFonts w:ascii="Times New Roman"/>
        </w:rPr>
        <w:t>——</w:t>
      </w:r>
      <w:r>
        <w:rPr>
          <w:rFonts w:hint="eastAsia" w:ascii="Times New Roman"/>
        </w:rPr>
        <w:t>第15部分：石油化工企业</w:t>
      </w:r>
    </w:p>
    <w:p>
      <w:pPr>
        <w:pStyle w:val="44"/>
        <w:ind w:firstLine="420"/>
        <w:rPr>
          <w:rFonts w:ascii="Times New Roman"/>
        </w:rPr>
      </w:pPr>
      <w:r>
        <w:rPr>
          <w:rFonts w:ascii="Times New Roman"/>
        </w:rPr>
        <w:t>——</w:t>
      </w:r>
      <w:r>
        <w:rPr>
          <w:rFonts w:hint="eastAsia" w:ascii="Times New Roman"/>
        </w:rPr>
        <w:t>第16部分：石油天然气生产企业</w:t>
      </w:r>
    </w:p>
    <w:p>
      <w:pPr>
        <w:pStyle w:val="44"/>
        <w:ind w:firstLine="420"/>
        <w:rPr>
          <w:rFonts w:ascii="Times New Roman"/>
        </w:rPr>
      </w:pPr>
      <w:r>
        <w:rPr>
          <w:rFonts w:ascii="Times New Roman"/>
        </w:rPr>
        <w:t>——</w:t>
      </w:r>
      <w:r>
        <w:rPr>
          <w:rFonts w:hint="eastAsia" w:ascii="Times New Roman"/>
        </w:rPr>
        <w:t>第17部分：氟化工企业</w:t>
      </w:r>
    </w:p>
    <w:p>
      <w:pPr>
        <w:pStyle w:val="44"/>
        <w:ind w:firstLine="420"/>
        <w:rPr>
          <w:rFonts w:hAnsi="宋体"/>
        </w:rPr>
      </w:pPr>
      <w:r>
        <w:rPr>
          <w:rFonts w:hAnsi="宋体"/>
        </w:rPr>
        <w:t>……</w:t>
      </w:r>
    </w:p>
    <w:p>
      <w:pPr>
        <w:pStyle w:val="44"/>
        <w:ind w:firstLine="420"/>
        <w:rPr>
          <w:rFonts w:ascii="Times New Roman"/>
        </w:rPr>
      </w:pPr>
      <w:r>
        <w:rPr>
          <w:rFonts w:ascii="Times New Roman"/>
        </w:rPr>
        <w:t>本文件由</w:t>
      </w:r>
      <w:r>
        <w:rPr>
          <w:rFonts w:hint="eastAsia" w:ascii="Times New Roman"/>
        </w:rPr>
        <w:t>中国建筑材料联合会</w:t>
      </w:r>
      <w:r>
        <w:rPr>
          <w:rFonts w:ascii="Times New Roman"/>
        </w:rPr>
        <w:t>提出。</w:t>
      </w:r>
    </w:p>
    <w:p>
      <w:pPr>
        <w:pStyle w:val="44"/>
        <w:ind w:firstLine="420"/>
        <w:rPr>
          <w:rFonts w:ascii="Times New Roman"/>
        </w:rPr>
      </w:pPr>
      <w:r>
        <w:rPr>
          <w:rFonts w:ascii="Times New Roman"/>
        </w:rPr>
        <w:t>本文件由</w:t>
      </w:r>
      <w:r>
        <w:rPr>
          <w:rFonts w:hint="eastAsia" w:ascii="Times New Roman"/>
        </w:rPr>
        <w:t>中国建筑材料联合会（609）和全国碳排放管理标准化技术委员会（SAC/TC 548）归口</w:t>
      </w:r>
      <w:r>
        <w:rPr>
          <w:rFonts w:ascii="Times New Roman"/>
        </w:rPr>
        <w:t>。</w:t>
      </w:r>
    </w:p>
    <w:p>
      <w:pPr>
        <w:pStyle w:val="44"/>
        <w:ind w:firstLine="420"/>
        <w:rPr>
          <w:rFonts w:ascii="Times New Roman"/>
        </w:rPr>
      </w:pPr>
      <w:r>
        <w:rPr>
          <w:rFonts w:ascii="Times New Roman"/>
        </w:rPr>
        <w:t>本文件起草单位：</w:t>
      </w:r>
    </w:p>
    <w:p>
      <w:pPr>
        <w:pStyle w:val="18"/>
        <w:tabs>
          <w:tab w:val="center" w:pos="4201"/>
          <w:tab w:val="right" w:leader="dot" w:pos="9298"/>
        </w:tabs>
        <w:rPr>
          <w:rFonts w:ascii="Times New Roman"/>
        </w:rPr>
      </w:pPr>
      <w:r>
        <w:rPr>
          <w:rFonts w:ascii="Times New Roman"/>
        </w:rPr>
        <w:t>本文件主要起草人：</w:t>
      </w:r>
    </w:p>
    <w:p>
      <w:pPr>
        <w:rPr>
          <w:rFonts w:ascii="Times New Roman"/>
        </w:rPr>
      </w:pPr>
      <w:r>
        <w:rPr>
          <w:rFonts w:ascii="Times New Roman"/>
        </w:rPr>
        <w:br w:type="page"/>
      </w:r>
    </w:p>
    <w:p>
      <w:pPr>
        <w:pStyle w:val="18"/>
        <w:tabs>
          <w:tab w:val="center" w:pos="4201"/>
          <w:tab w:val="right" w:leader="dot" w:pos="9298"/>
        </w:tabs>
        <w:rPr>
          <w:rFonts w:ascii="Times New Roman"/>
        </w:rPr>
      </w:pPr>
    </w:p>
    <w:p>
      <w:pPr>
        <w:pStyle w:val="18"/>
        <w:ind w:firstLine="420"/>
        <w:rPr>
          <w:rFonts w:hint="eastAsia"/>
        </w:rPr>
      </w:pPr>
    </w:p>
    <w:p>
      <w:pPr>
        <w:pStyle w:val="18"/>
        <w:ind w:firstLine="420"/>
        <w:rPr>
          <w:rFonts w:hint="eastAsia"/>
          <w:szCs w:val="22"/>
        </w:rPr>
      </w:pPr>
    </w:p>
    <w:p>
      <w:pPr>
        <w:pStyle w:val="43"/>
        <w:spacing w:after="468"/>
      </w:pPr>
      <w:bookmarkStart w:id="1" w:name="_Toc9254"/>
      <w:r>
        <w:rPr>
          <w:rFonts w:hint="eastAsia"/>
          <w:spacing w:val="320"/>
        </w:rPr>
        <w:t>引</w:t>
      </w:r>
      <w:r>
        <w:t>言</w:t>
      </w:r>
      <w:bookmarkEnd w:id="1"/>
    </w:p>
    <w:p>
      <w:pPr>
        <w:pStyle w:val="44"/>
        <w:ind w:firstLine="420"/>
        <w:rPr>
          <w:rFonts w:ascii="Times New Roman"/>
        </w:rPr>
      </w:pPr>
      <w:r>
        <w:rPr>
          <w:rFonts w:hint="eastAsia" w:ascii="Times New Roman"/>
        </w:rPr>
        <w:t>由人类活动导致的气候变化已经被公认为全世界面临的最大挑战之一，并将在未来数十年内继续影响人类及其相关活动。气候变化会对人类和自然系统产生影响，并且会给资源可用性、经济活动和人类福祉带来重大影响。相关国际组织、国家和区域正在制定并实施国际、区域、国家和地方温室气体排放管理方案，以降低地球大气中的温室气体（GHG）浓度，并帮助人类适应气候变化。</w:t>
      </w:r>
    </w:p>
    <w:p>
      <w:pPr>
        <w:pStyle w:val="44"/>
        <w:ind w:firstLine="420"/>
        <w:rPr>
          <w:rFonts w:ascii="Times New Roman"/>
        </w:rPr>
      </w:pPr>
      <w:r>
        <w:rPr>
          <w:rFonts w:hint="eastAsia" w:ascii="Times New Roman"/>
        </w:rPr>
        <w:t>相关温室气体排放管理方案需要基于最佳的科学知识，采取有效的、渐进的措施应对气候变化带来的各种威胁。标准有助于将这些科学知识转变为工具，从而应对气候变化。温室气体排放管理方案依赖于对温室气体排放的量化、监测和报告。</w:t>
      </w:r>
    </w:p>
    <w:p>
      <w:pPr>
        <w:pStyle w:val="44"/>
        <w:ind w:firstLine="420"/>
        <w:rPr>
          <w:rFonts w:ascii="Times New Roman"/>
        </w:rPr>
      </w:pPr>
      <w:r>
        <w:rPr>
          <w:rFonts w:hint="eastAsia" w:ascii="Times New Roman"/>
        </w:rPr>
        <w:t>GB/T 32151《温室气体排放核算与报告要求》从不同的企业层面规定了温室气体排放核算与报告的要求，目的是对于不同类型的企业，分别规定其温室气体排放边界、计量与检测要求、核算步骤与核算方法、数据质量管理、报告内容和格式等。GB/T 32151拟分为以下部分：</w:t>
      </w:r>
    </w:p>
    <w:p>
      <w:pPr>
        <w:pStyle w:val="44"/>
        <w:ind w:firstLine="420"/>
        <w:rPr>
          <w:rFonts w:ascii="Times New Roman"/>
        </w:rPr>
      </w:pPr>
      <w:r>
        <w:rPr>
          <w:rFonts w:ascii="Times New Roman"/>
        </w:rPr>
        <w:t>——第1部分：发电企业；</w:t>
      </w:r>
    </w:p>
    <w:p>
      <w:pPr>
        <w:pStyle w:val="44"/>
        <w:ind w:firstLine="420"/>
        <w:rPr>
          <w:rFonts w:ascii="Times New Roman"/>
        </w:rPr>
      </w:pPr>
      <w:r>
        <w:rPr>
          <w:rFonts w:ascii="Times New Roman"/>
        </w:rPr>
        <w:t>——第2部分：电网企业；</w:t>
      </w:r>
    </w:p>
    <w:p>
      <w:pPr>
        <w:pStyle w:val="44"/>
        <w:ind w:firstLine="420"/>
        <w:rPr>
          <w:rFonts w:ascii="Times New Roman"/>
        </w:rPr>
      </w:pPr>
      <w:r>
        <w:rPr>
          <w:rFonts w:ascii="Times New Roman"/>
        </w:rPr>
        <w:t>——第3部分：镁冶炼企业；</w:t>
      </w:r>
    </w:p>
    <w:p>
      <w:pPr>
        <w:pStyle w:val="44"/>
        <w:ind w:firstLine="420"/>
        <w:rPr>
          <w:rFonts w:ascii="Times New Roman"/>
        </w:rPr>
      </w:pPr>
      <w:r>
        <w:rPr>
          <w:rFonts w:ascii="Times New Roman"/>
        </w:rPr>
        <w:t>——第4部分：铝冶炼企业；</w:t>
      </w:r>
    </w:p>
    <w:p>
      <w:pPr>
        <w:pStyle w:val="44"/>
        <w:ind w:firstLine="420"/>
        <w:rPr>
          <w:rFonts w:ascii="Times New Roman"/>
        </w:rPr>
      </w:pPr>
      <w:r>
        <w:rPr>
          <w:rFonts w:ascii="Times New Roman"/>
        </w:rPr>
        <w:t>——第5部分：钢铁生产企业；</w:t>
      </w:r>
    </w:p>
    <w:p>
      <w:pPr>
        <w:pStyle w:val="44"/>
        <w:ind w:firstLine="420"/>
        <w:rPr>
          <w:rFonts w:ascii="Times New Roman"/>
        </w:rPr>
      </w:pPr>
      <w:r>
        <w:rPr>
          <w:rFonts w:ascii="Times New Roman"/>
        </w:rPr>
        <w:t>——第6部分：民用航空企业；</w:t>
      </w:r>
    </w:p>
    <w:p>
      <w:pPr>
        <w:pStyle w:val="44"/>
        <w:ind w:firstLine="420"/>
        <w:rPr>
          <w:rFonts w:ascii="Times New Roman"/>
        </w:rPr>
      </w:pPr>
      <w:r>
        <w:rPr>
          <w:rFonts w:ascii="Times New Roman"/>
        </w:rPr>
        <w:t>——第7部分：平板玻璃生产企业；</w:t>
      </w:r>
    </w:p>
    <w:p>
      <w:pPr>
        <w:pStyle w:val="44"/>
        <w:ind w:firstLine="420"/>
        <w:rPr>
          <w:rFonts w:ascii="Times New Roman"/>
        </w:rPr>
      </w:pPr>
      <w:r>
        <w:rPr>
          <w:rFonts w:ascii="Times New Roman"/>
        </w:rPr>
        <w:t>——第8部分：水泥生产企业；</w:t>
      </w:r>
    </w:p>
    <w:p>
      <w:pPr>
        <w:pStyle w:val="44"/>
        <w:ind w:firstLine="420"/>
        <w:rPr>
          <w:rFonts w:ascii="Times New Roman"/>
        </w:rPr>
      </w:pPr>
      <w:r>
        <w:rPr>
          <w:rFonts w:ascii="Times New Roman"/>
        </w:rPr>
        <w:t>——第9部分：陶瓷生产企业；</w:t>
      </w:r>
    </w:p>
    <w:p>
      <w:pPr>
        <w:pStyle w:val="44"/>
        <w:ind w:firstLine="420"/>
        <w:rPr>
          <w:rFonts w:ascii="Times New Roman"/>
        </w:rPr>
      </w:pPr>
      <w:r>
        <w:rPr>
          <w:rFonts w:ascii="Times New Roman"/>
        </w:rPr>
        <w:t>——第10部分：化工生产企业；</w:t>
      </w:r>
    </w:p>
    <w:p>
      <w:pPr>
        <w:pStyle w:val="44"/>
        <w:ind w:firstLine="420"/>
        <w:rPr>
          <w:rFonts w:ascii="Times New Roman"/>
        </w:rPr>
      </w:pPr>
      <w:r>
        <w:rPr>
          <w:rFonts w:ascii="Times New Roman"/>
        </w:rPr>
        <w:t>——第11部分：煤炭生产企业；</w:t>
      </w:r>
    </w:p>
    <w:p>
      <w:pPr>
        <w:pStyle w:val="44"/>
        <w:ind w:firstLine="420"/>
        <w:rPr>
          <w:rFonts w:ascii="Times New Roman"/>
        </w:rPr>
      </w:pPr>
      <w:r>
        <w:rPr>
          <w:rFonts w:ascii="Times New Roman"/>
        </w:rPr>
        <w:t>——第12部分：纺织服装企业；</w:t>
      </w:r>
    </w:p>
    <w:p>
      <w:pPr>
        <w:pStyle w:val="44"/>
        <w:ind w:firstLine="420"/>
        <w:rPr>
          <w:rFonts w:ascii="Times New Roman"/>
        </w:rPr>
      </w:pPr>
      <w:r>
        <w:rPr>
          <w:rFonts w:ascii="Times New Roman"/>
        </w:rPr>
        <w:t>——</w:t>
      </w:r>
      <w:r>
        <w:rPr>
          <w:rFonts w:hint="eastAsia" w:ascii="Times New Roman"/>
        </w:rPr>
        <w:t>第13部分：独立焦化企业</w:t>
      </w:r>
      <w:r>
        <w:rPr>
          <w:rFonts w:ascii="Times New Roman"/>
        </w:rPr>
        <w:t>；</w:t>
      </w:r>
    </w:p>
    <w:p>
      <w:pPr>
        <w:pStyle w:val="44"/>
        <w:ind w:firstLine="420"/>
        <w:rPr>
          <w:rFonts w:ascii="Times New Roman"/>
        </w:rPr>
      </w:pPr>
      <w:r>
        <w:rPr>
          <w:rFonts w:ascii="Times New Roman"/>
        </w:rPr>
        <w:t>——</w:t>
      </w:r>
      <w:r>
        <w:rPr>
          <w:rFonts w:hint="eastAsia" w:ascii="Times New Roman"/>
        </w:rPr>
        <w:t>第14部分：其他有色金属冶炼和压延加工企业</w:t>
      </w:r>
      <w:r>
        <w:rPr>
          <w:rFonts w:ascii="Times New Roman"/>
        </w:rPr>
        <w:t>；</w:t>
      </w:r>
    </w:p>
    <w:p>
      <w:pPr>
        <w:pStyle w:val="44"/>
        <w:ind w:firstLine="420"/>
        <w:rPr>
          <w:rFonts w:ascii="Times New Roman"/>
        </w:rPr>
      </w:pPr>
      <w:r>
        <w:rPr>
          <w:rFonts w:ascii="Times New Roman"/>
        </w:rPr>
        <w:t>——</w:t>
      </w:r>
      <w:r>
        <w:rPr>
          <w:rFonts w:hint="eastAsia" w:ascii="Times New Roman"/>
        </w:rPr>
        <w:t>第15部分：石油化工企业</w:t>
      </w:r>
    </w:p>
    <w:p>
      <w:pPr>
        <w:pStyle w:val="44"/>
        <w:ind w:firstLine="420"/>
        <w:rPr>
          <w:rFonts w:ascii="Times New Roman"/>
        </w:rPr>
      </w:pPr>
      <w:r>
        <w:rPr>
          <w:rFonts w:ascii="Times New Roman"/>
        </w:rPr>
        <w:t>——</w:t>
      </w:r>
      <w:r>
        <w:rPr>
          <w:rFonts w:hint="eastAsia" w:ascii="Times New Roman"/>
        </w:rPr>
        <w:t>第16部分：石油天然气生产企业</w:t>
      </w:r>
    </w:p>
    <w:p>
      <w:pPr>
        <w:pStyle w:val="44"/>
        <w:ind w:firstLine="420"/>
        <w:rPr>
          <w:rFonts w:ascii="Times New Roman"/>
        </w:rPr>
      </w:pPr>
      <w:r>
        <w:rPr>
          <w:rFonts w:ascii="Times New Roman"/>
        </w:rPr>
        <w:t>——</w:t>
      </w:r>
      <w:r>
        <w:rPr>
          <w:rFonts w:hint="eastAsia" w:ascii="Times New Roman"/>
        </w:rPr>
        <w:t>第17部分：氟化工企业</w:t>
      </w:r>
    </w:p>
    <w:p>
      <w:pPr>
        <w:spacing w:line="360" w:lineRule="auto"/>
        <w:jc w:val="center"/>
        <w:rPr>
          <w:rFonts w:hint="eastAsia" w:eastAsia="黑体"/>
          <w:b/>
          <w:sz w:val="28"/>
          <w:szCs w:val="28"/>
        </w:rPr>
        <w:sectPr>
          <w:footerReference r:id="rId9" w:type="first"/>
          <w:footerReference r:id="rId8" w:type="default"/>
          <w:pgSz w:w="11907" w:h="16839"/>
          <w:pgMar w:top="1418" w:right="1134" w:bottom="1134" w:left="1418" w:header="1418" w:footer="851" w:gutter="0"/>
          <w:pgNumType w:start="1" w:chapStyle="1"/>
          <w:cols w:space="720" w:num="1"/>
          <w:titlePg/>
          <w:docGrid w:linePitch="312" w:charSpace="0"/>
        </w:sectPr>
      </w:pPr>
    </w:p>
    <w:p>
      <w:pPr>
        <w:pStyle w:val="19"/>
        <w:ind w:firstLine="0" w:firstLineChars="0"/>
        <w:rPr>
          <w:rFonts w:hint="eastAsia"/>
          <w:color w:val="000000"/>
        </w:rPr>
      </w:pPr>
      <w:r>
        <w:rPr>
          <w:rFonts w:hint="eastAsia"/>
          <w:color w:val="000000"/>
          <w:lang w:val="en-US" w:eastAsia="zh-CN"/>
        </w:rPr>
        <w:t>温室气体排放核算与报告要求 第X部分：建筑石膏生产企业</w:t>
      </w:r>
    </w:p>
    <w:p>
      <w:pPr>
        <w:pStyle w:val="20"/>
        <w:rPr>
          <w:rFonts w:hint="eastAsia" w:hAnsi="Times New Roman" w:cs="Times New Roman"/>
          <w:color w:val="000000"/>
        </w:rPr>
      </w:pPr>
      <w:r>
        <w:rPr>
          <w:rFonts w:hint="eastAsia" w:hAnsi="Times New Roman" w:cs="Times New Roman"/>
          <w:color w:val="000000"/>
          <w:lang w:val="en-US" w:eastAsia="zh-CN"/>
        </w:rPr>
        <w:t xml:space="preserve">范围 </w:t>
      </w:r>
    </w:p>
    <w:p>
      <w:pPr>
        <w:pStyle w:val="18"/>
        <w:tabs>
          <w:tab w:val="center" w:pos="4201"/>
          <w:tab w:val="right" w:leader="dot" w:pos="9298"/>
        </w:tabs>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本文件规定了建筑石膏生产企业温室气体排放量的</w:t>
      </w:r>
      <w:r>
        <w:rPr>
          <w:rFonts w:ascii="Times New Roman"/>
          <w:highlight w:val="none"/>
        </w:rPr>
        <w:t>核算边界</w:t>
      </w:r>
      <w:r>
        <w:rPr>
          <w:rFonts w:hint="eastAsia" w:ascii="Times New Roman"/>
          <w:highlight w:val="none"/>
          <w:lang w:val="en-US" w:eastAsia="zh-CN"/>
        </w:rPr>
        <w:t>和排放源确定</w:t>
      </w:r>
      <w:r>
        <w:rPr>
          <w:rFonts w:ascii="Times New Roman"/>
          <w:highlight w:val="none"/>
        </w:rPr>
        <w:t>、</w:t>
      </w:r>
      <w:r>
        <w:rPr>
          <w:rFonts w:hint="eastAsia" w:ascii="Times New Roman"/>
          <w:highlight w:val="none"/>
          <w:lang w:val="en-US" w:eastAsia="zh-CN"/>
        </w:rPr>
        <w:t>核算步骤、</w:t>
      </w:r>
      <w:r>
        <w:rPr>
          <w:rFonts w:ascii="Times New Roman"/>
          <w:highlight w:val="none"/>
        </w:rPr>
        <w:t>核算</w:t>
      </w:r>
      <w:r>
        <w:rPr>
          <w:rFonts w:hint="eastAsia" w:ascii="Times New Roman"/>
          <w:highlight w:val="none"/>
          <w:lang w:val="en-US" w:eastAsia="zh-CN"/>
        </w:rPr>
        <w:t>要求及排放量计算、</w:t>
      </w:r>
      <w:r>
        <w:rPr>
          <w:rFonts w:ascii="Times New Roman"/>
          <w:highlight w:val="none"/>
        </w:rPr>
        <w:t>数据质量管理</w:t>
      </w:r>
      <w:r>
        <w:rPr>
          <w:rFonts w:hint="eastAsia" w:ascii="Times New Roman"/>
          <w:highlight w:val="none"/>
          <w:lang w:val="en-US" w:eastAsia="zh-CN"/>
        </w:rPr>
        <w:t>要求</w:t>
      </w:r>
      <w:r>
        <w:rPr>
          <w:rFonts w:ascii="Times New Roman"/>
          <w:highlight w:val="none"/>
        </w:rPr>
        <w:t>、报告内容和格式等内容</w:t>
      </w:r>
      <w:r>
        <w:rPr>
          <w:rFonts w:hint="eastAsia" w:hAnsi="Times New Roman" w:eastAsia="宋体" w:cs="Times New Roman"/>
          <w:highlight w:val="none"/>
          <w:lang w:val="en-US" w:eastAsia="zh-CN"/>
        </w:rPr>
        <w:t xml:space="preserve">。 </w:t>
      </w:r>
    </w:p>
    <w:p>
      <w:pPr>
        <w:pStyle w:val="18"/>
        <w:tabs>
          <w:tab w:val="center" w:pos="4201"/>
          <w:tab w:val="right" w:leader="dot" w:pos="9298"/>
        </w:tabs>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本文件适用于建筑石膏生产</w:t>
      </w:r>
      <w:r>
        <w:rPr>
          <w:rFonts w:ascii="Times New Roman"/>
          <w:highlight w:val="none"/>
        </w:rPr>
        <w:t>企业</w:t>
      </w:r>
      <w:r>
        <w:rPr>
          <w:rFonts w:hint="eastAsia" w:ascii="Times New Roman"/>
          <w:highlight w:val="none"/>
        </w:rPr>
        <w:t>温室气体</w:t>
      </w:r>
      <w:r>
        <w:rPr>
          <w:rFonts w:ascii="Times New Roman"/>
          <w:highlight w:val="none"/>
        </w:rPr>
        <w:t>排放量的核算</w:t>
      </w:r>
      <w:r>
        <w:rPr>
          <w:rFonts w:hint="eastAsia" w:ascii="Times New Roman"/>
          <w:highlight w:val="none"/>
        </w:rPr>
        <w:t>和</w:t>
      </w:r>
      <w:r>
        <w:rPr>
          <w:rFonts w:ascii="Times New Roman"/>
          <w:highlight w:val="none"/>
        </w:rPr>
        <w:t>报告</w:t>
      </w:r>
      <w:r>
        <w:rPr>
          <w:rFonts w:hint="eastAsia" w:hAnsi="Times New Roman" w:eastAsia="宋体" w:cs="Times New Roman"/>
          <w:highlight w:val="none"/>
          <w:lang w:val="en-US" w:eastAsia="zh-CN"/>
        </w:rPr>
        <w:t xml:space="preserve">。 </w:t>
      </w:r>
    </w:p>
    <w:p>
      <w:pPr>
        <w:pStyle w:val="20"/>
        <w:rPr>
          <w:rFonts w:hint="eastAsia" w:hAnsi="Times New Roman" w:cs="Times New Roman"/>
          <w:color w:val="000000"/>
          <w:lang w:val="en-US" w:eastAsia="zh-CN"/>
        </w:rPr>
      </w:pPr>
      <w:r>
        <w:rPr>
          <w:rFonts w:hint="eastAsia" w:hAnsi="Times New Roman" w:cs="Times New Roman"/>
          <w:color w:val="000000"/>
          <w:lang w:val="en-US" w:eastAsia="zh-CN"/>
        </w:rPr>
        <w:t xml:space="preserve">规范性引用文件 </w:t>
      </w:r>
    </w:p>
    <w:p>
      <w:pPr>
        <w:pStyle w:val="18"/>
        <w:tabs>
          <w:tab w:val="center" w:pos="4201"/>
          <w:tab w:val="right" w:leader="dot" w:pos="9298"/>
        </w:tabs>
        <w:rPr>
          <w:rFonts w:hint="eastAsia" w:hAnsi="Times New Roman" w:eastAsia="宋体" w:cs="Times New Roman"/>
        </w:rPr>
      </w:pPr>
      <w:r>
        <w:rPr>
          <w:rFonts w:hint="eastAsia"/>
          <w:color w:val="auto"/>
        </w:rPr>
        <w:t>下列文件</w:t>
      </w:r>
      <w:r>
        <w:rPr>
          <w:rFonts w:hint="eastAsia"/>
          <w:color w:val="auto"/>
          <w:lang w:val="en-US" w:eastAsia="zh-CN"/>
        </w:rPr>
        <w:t>中的内容通过文中的规范性引用而构成本文件必不可少的条款。其中，</w:t>
      </w:r>
      <w:r>
        <w:rPr>
          <w:rFonts w:hint="eastAsia"/>
          <w:color w:val="auto"/>
        </w:rPr>
        <w:t>注日期的引用文件，仅</w:t>
      </w:r>
      <w:r>
        <w:rPr>
          <w:rFonts w:hint="eastAsia"/>
          <w:color w:val="auto"/>
          <w:lang w:val="en-US" w:eastAsia="zh-CN"/>
        </w:rPr>
        <w:t>该</w:t>
      </w:r>
      <w:r>
        <w:rPr>
          <w:rFonts w:hint="eastAsia"/>
          <w:color w:val="auto"/>
        </w:rPr>
        <w:t>日期</w:t>
      </w:r>
      <w:r>
        <w:rPr>
          <w:rFonts w:hint="eastAsia"/>
          <w:color w:val="auto"/>
          <w:lang w:val="en-US" w:eastAsia="zh-CN"/>
        </w:rPr>
        <w:t>对应</w:t>
      </w:r>
      <w:r>
        <w:rPr>
          <w:rFonts w:hint="eastAsia"/>
          <w:color w:val="auto"/>
        </w:rPr>
        <w:t>的版本适用于本文件</w:t>
      </w:r>
      <w:r>
        <w:rPr>
          <w:rFonts w:hint="eastAsia"/>
          <w:color w:val="auto"/>
          <w:lang w:eastAsia="zh-CN"/>
        </w:rPr>
        <w:t>；</w:t>
      </w:r>
      <w:r>
        <w:rPr>
          <w:rFonts w:hint="eastAsia"/>
          <w:color w:val="auto"/>
        </w:rPr>
        <w:t>不注日期的引用文件，其最新版本（包括所有的修改单）适用于本文件。</w:t>
      </w:r>
      <w:r>
        <w:rPr>
          <w:rFonts w:hint="eastAsia" w:hAnsi="Times New Roman" w:eastAsia="宋体" w:cs="Times New Roman"/>
          <w:lang w:val="en-US" w:eastAsia="zh-CN"/>
        </w:rPr>
        <w:t xml:space="preserve"> </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213 煤的发热量测定方法</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384 石油产品热值测定法</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6422 用能设备能量测试导则</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11062 天然气 发热量、密度、相对密度和沃泊指数的计算方法</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15316 节能监测技术通则</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 17167 用能单位能源计量器具配备和管理通则</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24851 建筑材料行业能源计量器具配备和管理要求</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GB/T 32150 工业企业温室气体排放核算和报告通则</w:t>
      </w:r>
    </w:p>
    <w:p>
      <w:pPr>
        <w:pStyle w:val="18"/>
        <w:tabs>
          <w:tab w:val="center" w:pos="4201"/>
          <w:tab w:val="right" w:leader="dot" w:pos="9298"/>
        </w:tabs>
        <w:rPr>
          <w:rFonts w:hint="eastAsia" w:ascii="宋体"/>
        </w:rPr>
      </w:pPr>
      <w:r>
        <w:rPr>
          <w:rFonts w:hint="eastAsia" w:ascii="宋体"/>
        </w:rPr>
        <w:t>GB/T 32201 气体流量计</w:t>
      </w:r>
    </w:p>
    <w:p>
      <w:pPr>
        <w:pStyle w:val="18"/>
        <w:tabs>
          <w:tab w:val="center" w:pos="4201"/>
          <w:tab w:val="right" w:leader="dot" w:pos="9298"/>
        </w:tabs>
        <w:rPr>
          <w:rFonts w:hint="eastAsia" w:ascii="宋体"/>
        </w:rPr>
      </w:pPr>
      <w:r>
        <w:rPr>
          <w:rFonts w:hint="eastAsia" w:ascii="宋体"/>
        </w:rPr>
        <w:t>JJG 195 连续累计自动衡器（皮带秤）检定规程</w:t>
      </w:r>
    </w:p>
    <w:p>
      <w:pPr>
        <w:pStyle w:val="18"/>
        <w:tabs>
          <w:tab w:val="center" w:pos="4201"/>
          <w:tab w:val="right" w:leader="dot" w:pos="9298"/>
        </w:tabs>
        <w:rPr>
          <w:rFonts w:hint="eastAsia" w:ascii="宋体"/>
        </w:rPr>
      </w:pPr>
      <w:r>
        <w:rPr>
          <w:rFonts w:hint="eastAsia" w:ascii="宋体"/>
        </w:rPr>
        <w:t>JJG 1118 电子汽车衡（衡器载荷测量仪法）检定规程</w:t>
      </w:r>
    </w:p>
    <w:p>
      <w:pPr>
        <w:pStyle w:val="18"/>
        <w:tabs>
          <w:tab w:val="center" w:pos="4201"/>
          <w:tab w:val="right" w:leader="dot" w:pos="9298"/>
        </w:tabs>
        <w:rPr>
          <w:rFonts w:hint="eastAsia" w:ascii="宋体"/>
        </w:rPr>
      </w:pPr>
      <w:r>
        <w:rPr>
          <w:rFonts w:hint="eastAsia" w:ascii="宋体"/>
        </w:rPr>
        <w:t>JJG 2063 液体流量计器具检定系统表检定规程</w:t>
      </w:r>
    </w:p>
    <w:p>
      <w:pPr>
        <w:pStyle w:val="20"/>
        <w:rPr>
          <w:rFonts w:hint="eastAsia" w:hAnsi="Times New Roman" w:cs="Times New Roman"/>
          <w:color w:val="000000"/>
          <w:lang w:val="en-US" w:eastAsia="zh-CN"/>
        </w:rPr>
      </w:pPr>
      <w:r>
        <w:rPr>
          <w:rFonts w:hint="eastAsia" w:hAnsi="Times New Roman" w:cs="Times New Roman"/>
          <w:color w:val="000000"/>
          <w:lang w:val="en-US" w:eastAsia="zh-CN"/>
        </w:rPr>
        <w:t xml:space="preserve">术语和定义 </w:t>
      </w:r>
    </w:p>
    <w:p>
      <w:pPr>
        <w:keepNext w:val="0"/>
        <w:keepLines w:val="0"/>
        <w:widowControl/>
        <w:suppressLineNumbers w:val="0"/>
        <w:jc w:val="left"/>
        <w:rPr>
          <w:ins w:id="0" w:author="逍遥/heart" w:date="2024-05-20T15:48:56Z"/>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GB/T 32150界定的以及下列术语和定义适用于本文件。 </w:t>
      </w:r>
    </w:p>
    <w:p>
      <w:pPr>
        <w:widowControl/>
        <w:numPr>
          <w:ilvl w:val="1"/>
          <w:numId w:val="1"/>
        </w:numPr>
        <w:tabs>
          <w:tab w:val="left" w:pos="360"/>
        </w:tabs>
        <w:spacing w:line="240" w:lineRule="auto"/>
        <w:ind w:firstLine="0" w:firstLineChars="0"/>
        <w:jc w:val="left"/>
        <w:outlineLvl w:val="2"/>
        <w:rPr>
          <w:rFonts w:ascii="黑体" w:eastAsia="黑体"/>
          <w:kern w:val="0"/>
          <w:sz w:val="21"/>
          <w:szCs w:val="21"/>
          <w:highlight w:val="none"/>
        </w:rPr>
      </w:pPr>
      <w:r>
        <w:rPr>
          <w:rFonts w:hint="eastAsia" w:ascii="黑体" w:eastAsia="黑体"/>
          <w:kern w:val="0"/>
          <w:sz w:val="21"/>
          <w:szCs w:val="21"/>
          <w:highlight w:val="none"/>
          <w:lang w:val="en-US" w:eastAsia="zh-CN"/>
        </w:rPr>
        <w:t xml:space="preserve"> </w:t>
      </w:r>
    </w:p>
    <w:p>
      <w:pPr>
        <w:pStyle w:val="61"/>
        <w:numPr>
          <w:ilvl w:val="-1"/>
          <w:numId w:val="0"/>
        </w:numPr>
        <w:ind w:left="0" w:leftChars="0" w:firstLine="420" w:firstLineChars="200"/>
        <w:outlineLvl w:val="1"/>
        <w:rPr>
          <w:rFonts w:ascii="Times New Roman"/>
          <w:highlight w:val="none"/>
        </w:rPr>
      </w:pPr>
      <w:r>
        <w:rPr>
          <w:rFonts w:ascii="Times New Roman" w:eastAsia="黑体"/>
          <w:highlight w:val="none"/>
        </w:rPr>
        <w:t>温室气体</w:t>
      </w:r>
      <w:r>
        <w:rPr>
          <w:rFonts w:hint="eastAsia" w:ascii="Times New Roman" w:eastAsia="黑体"/>
          <w:highlight w:val="none"/>
        </w:rPr>
        <w:t xml:space="preserve"> </w:t>
      </w:r>
      <w:r>
        <w:rPr>
          <w:rFonts w:ascii="Times New Roman"/>
          <w:highlight w:val="none"/>
        </w:rPr>
        <w:t>greenhouse gas</w:t>
      </w:r>
    </w:p>
    <w:p>
      <w:pPr>
        <w:pStyle w:val="44"/>
        <w:ind w:firstLine="420"/>
        <w:rPr>
          <w:rFonts w:ascii="Times New Roman"/>
          <w:highlight w:val="none"/>
        </w:rPr>
      </w:pPr>
      <w:r>
        <w:rPr>
          <w:rFonts w:ascii="Times New Roman"/>
          <w:highlight w:val="none"/>
        </w:rPr>
        <w:t>大气层中自然存在的和由于人类活动产生的能够吸收和散发由地球表面、大气层和云层所产生的、波长在红外光谱内的辐射的气态成</w:t>
      </w:r>
      <w:r>
        <w:rPr>
          <w:rFonts w:hint="eastAsia" w:ascii="Times New Roman"/>
          <w:highlight w:val="none"/>
        </w:rPr>
        <w:t>分</w:t>
      </w:r>
      <w:r>
        <w:rPr>
          <w:rFonts w:ascii="Times New Roman"/>
          <w:highlight w:val="none"/>
        </w:rPr>
        <w:t>。</w:t>
      </w:r>
    </w:p>
    <w:p>
      <w:pPr>
        <w:pStyle w:val="63"/>
        <w:rPr>
          <w:rFonts w:ascii="Times New Roman"/>
          <w:highlight w:val="none"/>
        </w:rPr>
      </w:pPr>
      <w:r>
        <w:rPr>
          <w:rFonts w:ascii="Times New Roman"/>
          <w:highlight w:val="none"/>
        </w:rPr>
        <w:t>本文件涉及的温室气体只包含</w:t>
      </w:r>
      <w:r>
        <w:rPr>
          <w:rFonts w:hint="eastAsia" w:ascii="Times New Roman"/>
          <w:highlight w:val="none"/>
        </w:rPr>
        <w:t>二氧化碳</w:t>
      </w:r>
      <w:r>
        <w:rPr>
          <w:rFonts w:ascii="Times New Roman"/>
          <w:highlight w:val="none"/>
        </w:rPr>
        <w:t>（CO</w:t>
      </w:r>
      <w:r>
        <w:rPr>
          <w:rFonts w:ascii="Times New Roman"/>
          <w:highlight w:val="none"/>
          <w:vertAlign w:val="subscript"/>
        </w:rPr>
        <w:t>2</w:t>
      </w:r>
      <w:r>
        <w:rPr>
          <w:rFonts w:ascii="Times New Roman"/>
          <w:highlight w:val="none"/>
        </w:rPr>
        <w:t>）。</w:t>
      </w:r>
    </w:p>
    <w:p>
      <w:pPr>
        <w:pStyle w:val="44"/>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3.1]</w:t>
      </w:r>
    </w:p>
    <w:p>
      <w:pPr>
        <w:widowControl/>
        <w:numPr>
          <w:ilvl w:val="1"/>
          <w:numId w:val="1"/>
        </w:numPr>
        <w:tabs>
          <w:tab w:val="left" w:pos="360"/>
        </w:tabs>
        <w:spacing w:line="240" w:lineRule="auto"/>
        <w:ind w:firstLine="0" w:firstLineChars="0"/>
        <w:jc w:val="left"/>
        <w:outlineLvl w:val="2"/>
        <w:rPr>
          <w:rFonts w:ascii="黑体" w:eastAsia="黑体"/>
          <w:kern w:val="0"/>
          <w:sz w:val="21"/>
          <w:szCs w:val="21"/>
          <w:highlight w:val="none"/>
        </w:rPr>
      </w:pPr>
      <w:r>
        <w:rPr>
          <w:rFonts w:hint="eastAsia" w:ascii="黑体" w:eastAsia="黑体"/>
          <w:kern w:val="0"/>
          <w:sz w:val="21"/>
          <w:szCs w:val="21"/>
          <w:highlight w:val="none"/>
          <w:lang w:val="en-US" w:eastAsia="zh-CN"/>
        </w:rPr>
        <w:t xml:space="preserve"> </w:t>
      </w:r>
    </w:p>
    <w:p>
      <w:pPr>
        <w:pStyle w:val="61"/>
        <w:numPr>
          <w:ilvl w:val="-1"/>
          <w:numId w:val="0"/>
        </w:numPr>
        <w:ind w:left="0" w:leftChars="0" w:firstLine="420" w:firstLineChars="200"/>
        <w:outlineLvl w:val="1"/>
        <w:rPr>
          <w:rFonts w:ascii="Times New Roman" w:eastAsia="黑体"/>
          <w:highlight w:val="none"/>
        </w:rPr>
      </w:pPr>
      <w:r>
        <w:rPr>
          <w:rFonts w:hint="eastAsia" w:ascii="Times New Roman" w:eastAsia="黑体"/>
          <w:highlight w:val="none"/>
        </w:rPr>
        <w:t>温室气体排放</w:t>
      </w:r>
      <w:r>
        <w:rPr>
          <w:rFonts w:ascii="Times New Roman" w:eastAsia="黑体"/>
          <w:highlight w:val="none"/>
        </w:rPr>
        <w:t xml:space="preserve"> greenhouse gas emissions</w:t>
      </w:r>
    </w:p>
    <w:p>
      <w:pPr>
        <w:pStyle w:val="44"/>
        <w:ind w:firstLine="420"/>
        <w:rPr>
          <w:rFonts w:ascii="Times New Roman"/>
          <w:highlight w:val="none"/>
        </w:rPr>
      </w:pPr>
      <w:r>
        <w:rPr>
          <w:rFonts w:hint="eastAsia" w:ascii="Times New Roman"/>
          <w:highlight w:val="none"/>
        </w:rPr>
        <w:t>在特定时段内向大气中释放温室气体的过程</w:t>
      </w:r>
      <w:r>
        <w:rPr>
          <w:rFonts w:ascii="Times New Roman"/>
          <w:highlight w:val="none"/>
        </w:rPr>
        <w:t>。</w:t>
      </w:r>
    </w:p>
    <w:p>
      <w:pPr>
        <w:pStyle w:val="44"/>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3.6</w:t>
      </w:r>
      <w:r>
        <w:rPr>
          <w:rFonts w:hint="eastAsia" w:ascii="Times New Roman"/>
          <w:highlight w:val="none"/>
        </w:rPr>
        <w:t>，有修改</w:t>
      </w:r>
      <w:r>
        <w:rPr>
          <w:rFonts w:ascii="Times New Roman"/>
          <w:highlight w:val="none"/>
        </w:rPr>
        <w:t>]</w:t>
      </w:r>
    </w:p>
    <w:p>
      <w:pPr>
        <w:widowControl/>
        <w:numPr>
          <w:ilvl w:val="1"/>
          <w:numId w:val="1"/>
        </w:numPr>
        <w:tabs>
          <w:tab w:val="left" w:pos="360"/>
        </w:tabs>
        <w:spacing w:line="240" w:lineRule="auto"/>
        <w:ind w:firstLine="0" w:firstLineChars="0"/>
        <w:jc w:val="left"/>
        <w:outlineLvl w:val="2"/>
        <w:rPr>
          <w:rFonts w:ascii="黑体" w:eastAsia="黑体"/>
          <w:kern w:val="0"/>
          <w:sz w:val="21"/>
          <w:szCs w:val="21"/>
          <w:highlight w:val="none"/>
        </w:rPr>
      </w:pPr>
      <w:r>
        <w:rPr>
          <w:rFonts w:hint="eastAsia" w:ascii="黑体" w:eastAsia="黑体"/>
          <w:kern w:val="0"/>
          <w:sz w:val="21"/>
          <w:szCs w:val="21"/>
          <w:highlight w:val="none"/>
          <w:lang w:val="en-US" w:eastAsia="zh-CN"/>
        </w:rPr>
        <w:t xml:space="preserve"> </w:t>
      </w:r>
    </w:p>
    <w:p>
      <w:pPr>
        <w:widowControl/>
        <w:spacing w:line="240" w:lineRule="auto"/>
        <w:ind w:firstLine="420" w:firstLineChars="200"/>
        <w:jc w:val="left"/>
        <w:outlineLvl w:val="2"/>
        <w:rPr>
          <w:rFonts w:hint="eastAsia" w:ascii="黑体" w:eastAsia="黑体"/>
          <w:color w:val="auto"/>
          <w:kern w:val="0"/>
          <w:sz w:val="21"/>
          <w:szCs w:val="21"/>
          <w:highlight w:val="none"/>
        </w:rPr>
      </w:pPr>
      <w:r>
        <w:rPr>
          <w:rFonts w:hint="eastAsia" w:ascii="黑体" w:eastAsia="黑体"/>
          <w:color w:val="auto"/>
          <w:kern w:val="0"/>
          <w:sz w:val="21"/>
          <w:szCs w:val="21"/>
          <w:highlight w:val="none"/>
          <w:lang w:val="en-US" w:eastAsia="zh-CN"/>
        </w:rPr>
        <w:t xml:space="preserve">建筑石膏生产企业 calcined gypsum enterprise </w:t>
      </w:r>
    </w:p>
    <w:p>
      <w:pPr>
        <w:widowControl/>
        <w:tabs>
          <w:tab w:val="center" w:pos="4201"/>
          <w:tab w:val="right" w:leader="dot" w:pos="9298"/>
        </w:tabs>
        <w:autoSpaceDE w:val="0"/>
        <w:autoSpaceDN w:val="0"/>
        <w:spacing w:line="240" w:lineRule="auto"/>
        <w:ind w:firstLine="420" w:firstLineChars="200"/>
        <w:rPr>
          <w:rFonts w:hint="eastAsia" w:ascii="宋体" w:eastAsia="宋体"/>
          <w:color w:val="auto"/>
          <w:kern w:val="0"/>
          <w:sz w:val="21"/>
          <w:szCs w:val="22"/>
          <w:highlight w:val="none"/>
          <w:lang w:eastAsia="zh-CN"/>
        </w:rPr>
      </w:pPr>
      <w:r>
        <w:rPr>
          <w:rFonts w:hint="eastAsia" w:ascii="宋体" w:eastAsia="宋体"/>
          <w:color w:val="auto"/>
          <w:kern w:val="0"/>
          <w:sz w:val="21"/>
          <w:szCs w:val="22"/>
          <w:highlight w:val="none"/>
          <w:lang w:val="en-US" w:eastAsia="zh-CN"/>
        </w:rPr>
        <w:t xml:space="preserve">通过破碎、均化、粉磨、煅烧等工序，生产建筑石膏的企业。 </w:t>
      </w:r>
    </w:p>
    <w:p>
      <w:pPr>
        <w:widowControl/>
        <w:numPr>
          <w:ilvl w:val="1"/>
          <w:numId w:val="1"/>
        </w:numPr>
        <w:tabs>
          <w:tab w:val="left" w:pos="360"/>
        </w:tabs>
        <w:spacing w:line="240" w:lineRule="auto"/>
        <w:ind w:firstLine="0" w:firstLineChars="0"/>
        <w:jc w:val="left"/>
        <w:outlineLvl w:val="2"/>
        <w:rPr>
          <w:rFonts w:hint="eastAsia" w:ascii="黑体" w:eastAsia="黑体"/>
          <w:kern w:val="0"/>
          <w:sz w:val="21"/>
          <w:szCs w:val="21"/>
          <w:highlight w:val="none"/>
          <w:lang w:val="en-US" w:eastAsia="zh-CN"/>
        </w:rPr>
      </w:pPr>
    </w:p>
    <w:p>
      <w:pPr>
        <w:widowControl/>
        <w:spacing w:line="240" w:lineRule="auto"/>
        <w:ind w:firstLine="420" w:firstLineChars="200"/>
        <w:jc w:val="left"/>
        <w:outlineLvl w:val="2"/>
        <w:rPr>
          <w:rFonts w:hint="eastAsia" w:ascii="黑体" w:eastAsia="黑体"/>
          <w:color w:val="auto"/>
          <w:kern w:val="0"/>
          <w:sz w:val="21"/>
          <w:szCs w:val="21"/>
          <w:highlight w:val="none"/>
          <w:lang w:val="en-US" w:eastAsia="zh-CN"/>
        </w:rPr>
      </w:pPr>
      <w:r>
        <w:rPr>
          <w:rFonts w:hint="eastAsia" w:ascii="黑体" w:eastAsia="黑体"/>
          <w:color w:val="auto"/>
          <w:kern w:val="0"/>
          <w:sz w:val="21"/>
          <w:szCs w:val="21"/>
          <w:highlight w:val="none"/>
          <w:lang w:val="en-US" w:eastAsia="zh-CN"/>
        </w:rPr>
        <w:t xml:space="preserve">报告主体 reporting entity </w:t>
      </w:r>
    </w:p>
    <w:p>
      <w:pPr>
        <w:widowControl/>
        <w:tabs>
          <w:tab w:val="center" w:pos="4201"/>
          <w:tab w:val="right" w:leader="dot" w:pos="9298"/>
        </w:tabs>
        <w:autoSpaceDE w:val="0"/>
        <w:autoSpaceDN w:val="0"/>
        <w:spacing w:line="240" w:lineRule="auto"/>
        <w:ind w:firstLine="420" w:firstLineChars="200"/>
        <w:rPr>
          <w:rFonts w:hint="eastAsia" w:ascii="宋体" w:eastAsia="宋体"/>
          <w:color w:val="auto"/>
          <w:kern w:val="0"/>
          <w:sz w:val="21"/>
          <w:szCs w:val="22"/>
          <w:highlight w:val="none"/>
          <w:lang w:val="en-US" w:eastAsia="zh-CN"/>
        </w:rPr>
      </w:pPr>
      <w:r>
        <w:rPr>
          <w:rFonts w:hint="eastAsia" w:ascii="宋体" w:eastAsia="宋体"/>
          <w:color w:val="auto"/>
          <w:kern w:val="0"/>
          <w:sz w:val="21"/>
          <w:szCs w:val="22"/>
          <w:highlight w:val="none"/>
          <w:lang w:val="en-US" w:eastAsia="zh-CN"/>
        </w:rPr>
        <w:t xml:space="preserve">具有温室气体排放行为的建筑石膏生产法人或视同法人的独立核算单位。 </w:t>
      </w:r>
    </w:p>
    <w:p>
      <w:pPr>
        <w:widowControl/>
        <w:numPr>
          <w:ilvl w:val="1"/>
          <w:numId w:val="1"/>
        </w:numPr>
        <w:tabs>
          <w:tab w:val="left" w:pos="360"/>
        </w:tabs>
        <w:spacing w:line="240" w:lineRule="auto"/>
        <w:ind w:firstLine="0" w:firstLineChars="0"/>
        <w:jc w:val="left"/>
        <w:outlineLvl w:val="2"/>
        <w:rPr>
          <w:rFonts w:hint="eastAsia" w:ascii="黑体" w:eastAsia="黑体"/>
          <w:kern w:val="0"/>
          <w:sz w:val="21"/>
          <w:szCs w:val="21"/>
          <w:highlight w:val="none"/>
          <w:lang w:val="en-US" w:eastAsia="zh-CN"/>
        </w:rPr>
      </w:pPr>
    </w:p>
    <w:p>
      <w:pPr>
        <w:widowControl/>
        <w:spacing w:line="240" w:lineRule="auto"/>
        <w:ind w:firstLine="420" w:firstLineChars="200"/>
        <w:jc w:val="left"/>
        <w:outlineLvl w:val="2"/>
        <w:rPr>
          <w:rFonts w:hint="eastAsia" w:ascii="黑体" w:eastAsia="黑体"/>
          <w:color w:val="auto"/>
          <w:kern w:val="0"/>
          <w:sz w:val="21"/>
          <w:szCs w:val="21"/>
          <w:highlight w:val="none"/>
          <w:lang w:val="en-US" w:eastAsia="zh-CN"/>
        </w:rPr>
      </w:pPr>
      <w:r>
        <w:rPr>
          <w:rFonts w:hint="eastAsia" w:ascii="黑体" w:eastAsia="黑体"/>
          <w:color w:val="auto"/>
          <w:kern w:val="0"/>
          <w:sz w:val="21"/>
          <w:szCs w:val="21"/>
          <w:highlight w:val="none"/>
          <w:lang w:val="en-US" w:eastAsia="zh-CN"/>
        </w:rPr>
        <w:t xml:space="preserve">重点排放设施 key emission facility </w:t>
      </w:r>
    </w:p>
    <w:p>
      <w:pPr>
        <w:pStyle w:val="18"/>
        <w:tabs>
          <w:tab w:val="center" w:pos="4201"/>
          <w:tab w:val="right" w:leader="dot" w:pos="9298"/>
        </w:tabs>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 xml:space="preserve">年度二氧化碳排放量大于5000吨（含）或占报告主体年度排放量大于20%（含）的排放设施。 </w:t>
      </w:r>
    </w:p>
    <w:p>
      <w:pPr>
        <w:widowControl/>
        <w:numPr>
          <w:ilvl w:val="1"/>
          <w:numId w:val="1"/>
        </w:numPr>
        <w:tabs>
          <w:tab w:val="left" w:pos="360"/>
        </w:tabs>
        <w:spacing w:line="240" w:lineRule="auto"/>
        <w:ind w:firstLine="0" w:firstLineChars="0"/>
        <w:jc w:val="left"/>
        <w:outlineLvl w:val="2"/>
        <w:rPr>
          <w:rFonts w:hint="eastAsia" w:ascii="黑体" w:eastAsia="黑体"/>
          <w:kern w:val="0"/>
          <w:sz w:val="21"/>
          <w:szCs w:val="21"/>
          <w:highlight w:val="none"/>
          <w:lang w:val="en-US" w:eastAsia="zh-CN"/>
        </w:rPr>
      </w:pPr>
      <w:r>
        <w:rPr>
          <w:rFonts w:hint="eastAsia" w:ascii="黑体" w:eastAsia="黑体"/>
          <w:kern w:val="0"/>
          <w:sz w:val="21"/>
          <w:szCs w:val="21"/>
          <w:highlight w:val="none"/>
          <w:lang w:val="en-US" w:eastAsia="zh-CN"/>
        </w:rPr>
        <w:t xml:space="preserve"> </w:t>
      </w:r>
    </w:p>
    <w:p>
      <w:pPr>
        <w:widowControl/>
        <w:spacing w:line="240" w:lineRule="auto"/>
        <w:ind w:firstLine="420" w:firstLineChars="200"/>
        <w:jc w:val="left"/>
        <w:outlineLvl w:val="2"/>
        <w:rPr>
          <w:rFonts w:hint="eastAsia" w:ascii="黑体" w:eastAsia="黑体"/>
          <w:color w:val="auto"/>
          <w:kern w:val="0"/>
          <w:sz w:val="21"/>
          <w:szCs w:val="21"/>
          <w:highlight w:val="none"/>
          <w:lang w:val="en-US" w:eastAsia="zh-CN"/>
        </w:rPr>
      </w:pPr>
      <w:r>
        <w:rPr>
          <w:rFonts w:hint="eastAsia" w:ascii="黑体" w:eastAsia="黑体"/>
          <w:color w:val="auto"/>
          <w:kern w:val="0"/>
          <w:sz w:val="21"/>
          <w:szCs w:val="21"/>
          <w:highlight w:val="none"/>
          <w:lang w:val="en-US" w:eastAsia="zh-CN"/>
        </w:rPr>
        <w:t xml:space="preserve">活动数据 activity data </w:t>
      </w:r>
    </w:p>
    <w:p>
      <w:pPr>
        <w:pStyle w:val="18"/>
        <w:tabs>
          <w:tab w:val="center" w:pos="4201"/>
          <w:tab w:val="right" w:leader="dot" w:pos="9298"/>
        </w:tabs>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 xml:space="preserve">导致二氧化碳排放的生产或消费活动量的表征值。 </w:t>
      </w:r>
    </w:p>
    <w:p>
      <w:pPr>
        <w:pStyle w:val="44"/>
        <w:ind w:firstLine="420"/>
        <w:rPr>
          <w:rFonts w:ascii="Times New Roman"/>
          <w:highlight w:val="none"/>
        </w:rPr>
      </w:pPr>
      <w:r>
        <w:rPr>
          <w:rFonts w:ascii="Times New Roman"/>
          <w:highlight w:val="none"/>
        </w:rPr>
        <w:t>[来源：GB/T 32150—2015，</w:t>
      </w:r>
      <w:r>
        <w:rPr>
          <w:rFonts w:hint="eastAsia" w:ascii="Times New Roman"/>
          <w:highlight w:val="none"/>
        </w:rPr>
        <w:t>定义</w:t>
      </w:r>
      <w:r>
        <w:rPr>
          <w:rFonts w:ascii="Times New Roman"/>
          <w:highlight w:val="none"/>
        </w:rPr>
        <w:t>3.12]</w:t>
      </w:r>
    </w:p>
    <w:p>
      <w:pPr>
        <w:widowControl/>
        <w:numPr>
          <w:ilvl w:val="1"/>
          <w:numId w:val="1"/>
        </w:numPr>
        <w:tabs>
          <w:tab w:val="left" w:pos="360"/>
        </w:tabs>
        <w:spacing w:line="240" w:lineRule="auto"/>
        <w:ind w:firstLine="0" w:firstLineChars="0"/>
        <w:jc w:val="left"/>
        <w:outlineLvl w:val="2"/>
        <w:rPr>
          <w:rFonts w:hint="eastAsia" w:ascii="黑体" w:eastAsia="黑体"/>
          <w:kern w:val="0"/>
          <w:sz w:val="21"/>
          <w:szCs w:val="21"/>
          <w:highlight w:val="none"/>
          <w:lang w:val="en-US" w:eastAsia="zh-CN"/>
        </w:rPr>
      </w:pPr>
      <w:r>
        <w:rPr>
          <w:rFonts w:hint="eastAsia" w:ascii="黑体" w:eastAsia="黑体"/>
          <w:kern w:val="0"/>
          <w:sz w:val="21"/>
          <w:szCs w:val="21"/>
          <w:highlight w:val="none"/>
          <w:lang w:val="en-US" w:eastAsia="zh-CN"/>
        </w:rPr>
        <w:t xml:space="preserve"> </w:t>
      </w:r>
    </w:p>
    <w:p>
      <w:pPr>
        <w:widowControl/>
        <w:spacing w:line="240" w:lineRule="auto"/>
        <w:ind w:firstLine="420" w:firstLineChars="200"/>
        <w:jc w:val="left"/>
        <w:outlineLvl w:val="2"/>
        <w:rPr>
          <w:rFonts w:hint="eastAsia" w:ascii="黑体" w:eastAsia="黑体"/>
          <w:color w:val="auto"/>
          <w:kern w:val="0"/>
          <w:sz w:val="21"/>
          <w:szCs w:val="21"/>
          <w:highlight w:val="none"/>
          <w:lang w:val="en-US" w:eastAsia="zh-CN"/>
        </w:rPr>
      </w:pPr>
      <w:r>
        <w:rPr>
          <w:rFonts w:hint="eastAsia" w:ascii="黑体" w:eastAsia="黑体"/>
          <w:color w:val="auto"/>
          <w:kern w:val="0"/>
          <w:sz w:val="21"/>
          <w:szCs w:val="21"/>
          <w:highlight w:val="none"/>
          <w:lang w:val="en-US" w:eastAsia="zh-CN"/>
        </w:rPr>
        <w:t xml:space="preserve">排放因子 emission factor </w:t>
      </w:r>
    </w:p>
    <w:p>
      <w:pPr>
        <w:pStyle w:val="18"/>
        <w:tabs>
          <w:tab w:val="center" w:pos="4201"/>
          <w:tab w:val="right" w:leader="dot" w:pos="9298"/>
        </w:tabs>
        <w:rPr>
          <w:rFonts w:hint="eastAsia" w:hAnsi="Times New Roman" w:eastAsia="宋体" w:cs="Times New Roman"/>
          <w:highlight w:val="none"/>
          <w:lang w:val="en-US" w:eastAsia="zh-CN"/>
        </w:rPr>
      </w:pPr>
      <w:r>
        <w:rPr>
          <w:rFonts w:hint="eastAsia" w:hAnsi="Times New Roman" w:eastAsia="宋体" w:cs="Times New Roman"/>
          <w:highlight w:val="none"/>
          <w:lang w:val="en-US" w:eastAsia="zh-CN"/>
        </w:rPr>
        <w:t>表征单位生产或消费活动量的二氧化碳排放的系数。</w:t>
      </w:r>
    </w:p>
    <w:p>
      <w:pPr>
        <w:pStyle w:val="44"/>
        <w:rPr>
          <w:rFonts w:hint="eastAsia" w:hAnsi="Times New Roman" w:eastAsia="宋体" w:cs="Times New Roman"/>
          <w:highlight w:val="none"/>
          <w:lang w:val="en-US" w:eastAsia="zh-CN"/>
        </w:rPr>
      </w:pPr>
      <w:r>
        <w:rPr>
          <w:rFonts w:ascii="Times New Roman"/>
          <w:highlight w:val="none"/>
        </w:rPr>
        <w:t>[来源：GB/T 32150—2015，</w:t>
      </w:r>
      <w:r>
        <w:rPr>
          <w:rFonts w:hint="eastAsia" w:ascii="Times New Roman"/>
          <w:highlight w:val="none"/>
        </w:rPr>
        <w:t>定义</w:t>
      </w:r>
      <w:r>
        <w:rPr>
          <w:rFonts w:ascii="Times New Roman"/>
          <w:highlight w:val="none"/>
        </w:rPr>
        <w:t>3.13]</w:t>
      </w:r>
      <w:r>
        <w:rPr>
          <w:rFonts w:hint="eastAsia" w:hAnsi="Times New Roman" w:eastAsia="宋体" w:cs="Times New Roman"/>
          <w:highlight w:val="none"/>
          <w:lang w:val="en-US" w:eastAsia="zh-CN"/>
        </w:rPr>
        <w:t xml:space="preserve"> </w:t>
      </w:r>
    </w:p>
    <w:p>
      <w:pPr>
        <w:widowControl/>
        <w:numPr>
          <w:ilvl w:val="1"/>
          <w:numId w:val="1"/>
        </w:numPr>
        <w:tabs>
          <w:tab w:val="left" w:pos="360"/>
        </w:tabs>
        <w:spacing w:line="240" w:lineRule="auto"/>
        <w:ind w:firstLine="0" w:firstLineChars="0"/>
        <w:jc w:val="left"/>
        <w:outlineLvl w:val="2"/>
        <w:rPr>
          <w:rFonts w:hint="eastAsia" w:ascii="黑体" w:eastAsia="黑体"/>
          <w:kern w:val="0"/>
          <w:sz w:val="21"/>
          <w:szCs w:val="21"/>
          <w:lang w:val="en-US" w:eastAsia="zh-CN"/>
        </w:rPr>
      </w:pPr>
      <w:r>
        <w:rPr>
          <w:rFonts w:hint="eastAsia" w:ascii="黑体" w:eastAsia="黑体"/>
          <w:kern w:val="0"/>
          <w:sz w:val="21"/>
          <w:szCs w:val="21"/>
          <w:lang w:val="en-US" w:eastAsia="zh-CN"/>
        </w:rPr>
        <w:t xml:space="preserve"> </w:t>
      </w:r>
    </w:p>
    <w:p>
      <w:pPr>
        <w:widowControl/>
        <w:spacing w:line="240" w:lineRule="auto"/>
        <w:ind w:firstLine="420" w:firstLineChars="200"/>
        <w:jc w:val="left"/>
        <w:outlineLvl w:val="2"/>
        <w:rPr>
          <w:rFonts w:hint="eastAsia" w:ascii="黑体" w:eastAsia="黑体"/>
          <w:color w:val="auto"/>
          <w:kern w:val="0"/>
          <w:sz w:val="21"/>
          <w:szCs w:val="21"/>
          <w:lang w:val="en-US" w:eastAsia="zh-CN"/>
        </w:rPr>
      </w:pPr>
      <w:r>
        <w:rPr>
          <w:rFonts w:hint="eastAsia" w:ascii="黑体" w:eastAsia="黑体"/>
          <w:color w:val="auto"/>
          <w:kern w:val="0"/>
          <w:sz w:val="21"/>
          <w:szCs w:val="21"/>
          <w:lang w:val="en-US" w:eastAsia="zh-CN"/>
        </w:rPr>
        <w:t xml:space="preserve">碳氧化率 carbon oxidation rate </w:t>
      </w:r>
    </w:p>
    <w:p>
      <w:pPr>
        <w:pStyle w:val="18"/>
        <w:tabs>
          <w:tab w:val="center" w:pos="4201"/>
          <w:tab w:val="right" w:leader="dot" w:pos="9298"/>
        </w:tabs>
        <w:rPr>
          <w:rFonts w:hint="eastAsia" w:hAnsi="Times New Roman" w:eastAsia="宋体" w:cs="Times New Roman"/>
          <w:lang w:val="en-US" w:eastAsia="zh-CN"/>
        </w:rPr>
      </w:pPr>
      <w:r>
        <w:rPr>
          <w:rFonts w:hint="eastAsia" w:hAnsi="Times New Roman" w:eastAsia="宋体" w:cs="Times New Roman"/>
          <w:lang w:val="en-US" w:eastAsia="zh-CN"/>
        </w:rPr>
        <w:t>燃料中的碳在燃烧过程中被完全氧化的百分比。</w:t>
      </w:r>
    </w:p>
    <w:p>
      <w:pPr>
        <w:pStyle w:val="44"/>
        <w:ind w:firstLine="420"/>
        <w:rPr>
          <w:rFonts w:ascii="Times New Roman"/>
        </w:rPr>
      </w:pPr>
      <w:r>
        <w:rPr>
          <w:rFonts w:ascii="Times New Roman"/>
        </w:rPr>
        <w:t>[来源：GB/T 32150—2015，</w:t>
      </w:r>
      <w:r>
        <w:rPr>
          <w:rFonts w:hint="eastAsia" w:ascii="Times New Roman"/>
        </w:rPr>
        <w:t>定义</w:t>
      </w:r>
      <w:r>
        <w:rPr>
          <w:rFonts w:ascii="Times New Roman"/>
        </w:rPr>
        <w:t>3.14]</w:t>
      </w:r>
    </w:p>
    <w:p>
      <w:pPr>
        <w:pStyle w:val="20"/>
        <w:rPr>
          <w:rFonts w:hint="eastAsia" w:hAnsi="Times New Roman" w:cs="Times New Roman"/>
          <w:color w:val="000000"/>
          <w:lang w:val="en-US" w:eastAsia="zh-CN"/>
        </w:rPr>
      </w:pPr>
      <w:r>
        <w:rPr>
          <w:rFonts w:hint="eastAsia" w:hAnsi="Times New Roman" w:cs="Times New Roman"/>
          <w:color w:val="000000"/>
          <w:lang w:val="en-US" w:eastAsia="zh-CN"/>
        </w:rPr>
        <w:t xml:space="preserve">核算和报告范围 </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r>
        <w:rPr>
          <w:rFonts w:hint="eastAsia" w:ascii="黑体" w:eastAsia="黑体"/>
          <w:kern w:val="0"/>
          <w:sz w:val="21"/>
          <w:szCs w:val="21"/>
          <w:lang w:val="en-US" w:eastAsia="zh-CN"/>
        </w:rPr>
        <w:t>核算边界和基本要求</w:t>
      </w:r>
    </w:p>
    <w:p>
      <w:pPr>
        <w:pStyle w:val="21"/>
        <w:spacing w:before="0" w:beforeLines="0" w:after="0" w:afterLines="0"/>
      </w:pPr>
      <w:r>
        <w:rPr>
          <w:rFonts w:hint="eastAsia" w:ascii="宋体" w:hAnsi="宋体" w:eastAsia="宋体"/>
          <w:lang w:val="en-US" w:eastAsia="zh-CN"/>
        </w:rPr>
        <w:t xml:space="preserve">报告主体应以建筑石膏生产为主营业务的法人或视同法人的独立核算单位为边界，核算和报告其生产系统产生的温室气体排放。生产系统包括主要生产系统、辅助生产系统以及直接为生产服务的附属生产系统，其中辅助生产系统包括供电、供水、供气、供热、制冷、机修、仪修、照明、库房和厂内原料场地以及安全、环保等装置及设施，附属生产系统包括生产指挥系统（厂部）和厂区内为生产服务的部门和单位（如职工食堂、车间浴室、保健站等）。  </w:t>
      </w:r>
      <w:r>
        <w:rPr>
          <w:rFonts w:hint="eastAsia"/>
          <w:lang w:val="en-US" w:eastAsia="zh-CN"/>
        </w:rPr>
        <w:t xml:space="preserve">   </w:t>
      </w:r>
    </w:p>
    <w:p>
      <w:pPr>
        <w:pStyle w:val="21"/>
        <w:spacing w:before="0" w:beforeLines="0" w:after="0" w:afterLines="0"/>
        <w:rPr>
          <w:rFonts w:hint="eastAsia" w:ascii="宋体" w:hAnsi="宋体" w:eastAsia="宋体"/>
          <w:lang w:val="en-US" w:eastAsia="zh-CN"/>
        </w:rPr>
      </w:pPr>
      <w:r>
        <w:rPr>
          <w:rFonts w:hint="eastAsia" w:ascii="宋体" w:hAnsi="宋体" w:eastAsia="宋体"/>
          <w:lang w:val="en-US" w:eastAsia="zh-CN"/>
        </w:rPr>
        <w:t>建筑石膏生产企业在生产过程中，其温室气体排放主要包括化石燃料燃烧排放、购入和输出的电力和热力产生的排放。生产企业供应链上下游的温室气体排放相较于企业边界内的排放而言不能忽略不计的，宜单独报告并明确核算方法。</w:t>
      </w:r>
    </w:p>
    <w:p>
      <w:pPr>
        <w:pStyle w:val="21"/>
        <w:spacing w:before="0" w:beforeLines="0" w:after="0" w:afterLines="0"/>
        <w:rPr>
          <w:rFonts w:hint="eastAsia" w:ascii="宋体" w:hAnsi="宋体" w:eastAsia="宋体"/>
          <w:lang w:val="en-US" w:eastAsia="zh-CN"/>
        </w:rPr>
      </w:pPr>
      <w:r>
        <w:rPr>
          <w:rFonts w:hint="eastAsia" w:ascii="宋体" w:hAnsi="宋体" w:eastAsia="宋体"/>
          <w:lang w:val="en-US" w:eastAsia="zh-CN"/>
        </w:rPr>
        <w:t>报告主体如果涉及碳清除/碳吸收等本文件规定核算范围外的固碳量，宜单独报告并明确核算方法或计量方法。</w:t>
      </w:r>
    </w:p>
    <w:p>
      <w:pPr>
        <w:pStyle w:val="21"/>
        <w:spacing w:before="0" w:beforeLines="0" w:after="0" w:afterLines="0"/>
      </w:pPr>
      <w:r>
        <w:rPr>
          <w:rFonts w:hint="eastAsia" w:ascii="宋体" w:hAnsi="宋体" w:eastAsia="宋体"/>
          <w:lang w:val="en-US" w:eastAsia="zh-CN"/>
        </w:rPr>
        <w:t>报告主体如果还从事建筑石膏生产以外的其他产品生产活动，并存在本文件未涵盖的温室气体排放环节，则应按照其他相关行业的企业温室气体排放核算和报告要求进行核算并汇总报告，报告格式见附录A。</w:t>
      </w:r>
      <w:r>
        <w:rPr>
          <w:rFonts w:hint="eastAsia" w:ascii="黑体" w:eastAsia="黑体"/>
          <w:kern w:val="0"/>
          <w:sz w:val="21"/>
          <w:szCs w:val="21"/>
          <w:lang w:val="en-US" w:eastAsia="zh-CN"/>
        </w:rPr>
        <w:t xml:space="preserve"> </w:t>
      </w:r>
      <w:r>
        <w:rPr>
          <w:rFonts w:hint="eastAsia" w:ascii="宋体" w:hAnsi="宋体" w:eastAsia="宋体" w:cs="宋体"/>
          <w:color w:val="000000"/>
          <w:kern w:val="0"/>
          <w:sz w:val="21"/>
          <w:szCs w:val="21"/>
          <w:lang w:val="en-US" w:eastAsia="zh-CN" w:bidi="ar"/>
        </w:rPr>
        <w:t xml:space="preserve"> </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r>
        <w:rPr>
          <w:rFonts w:hint="eastAsia" w:ascii="黑体" w:eastAsia="黑体"/>
          <w:kern w:val="0"/>
          <w:sz w:val="21"/>
          <w:szCs w:val="21"/>
          <w:lang w:val="en-US" w:eastAsia="zh-CN"/>
        </w:rPr>
        <w:t>排放源</w:t>
      </w:r>
    </w:p>
    <w:p>
      <w:pPr>
        <w:pStyle w:val="21"/>
        <w:spacing w:before="156" w:after="156"/>
        <w:rPr>
          <w:rFonts w:hint="eastAsia" w:cs="Times New Roman"/>
          <w:color w:val="auto"/>
          <w:lang w:val="en-US" w:eastAsia="zh-CN"/>
        </w:rPr>
      </w:pPr>
      <w:bookmarkStart w:id="2" w:name="_Toc128508355"/>
      <w:bookmarkStart w:id="3" w:name="_Toc128585844"/>
      <w:bookmarkStart w:id="4" w:name="_Toc128508287"/>
      <w:bookmarkStart w:id="5" w:name="_Toc128508439"/>
      <w:r>
        <w:rPr>
          <w:rFonts w:hint="eastAsia" w:cs="Times New Roman"/>
          <w:color w:val="auto"/>
          <w:lang w:val="en-US" w:eastAsia="zh-CN"/>
        </w:rPr>
        <w:t>化石燃料燃烧排放</w:t>
      </w:r>
      <w:bookmarkEnd w:id="2"/>
      <w:bookmarkEnd w:id="3"/>
      <w:bookmarkEnd w:id="4"/>
      <w:bookmarkEnd w:id="5"/>
    </w:p>
    <w:p>
      <w:pPr>
        <w:pStyle w:val="44"/>
        <w:ind w:firstLine="420"/>
        <w:rPr>
          <w:rFonts w:hint="eastAsia" w:ascii="Times New Roman"/>
        </w:rPr>
      </w:pPr>
      <w:r>
        <w:rPr>
          <w:rFonts w:hint="eastAsia" w:ascii="宋体" w:hAnsi="宋体" w:eastAsia="宋体" w:cs="Times New Roman"/>
          <w:lang w:val="en-US" w:eastAsia="zh-CN"/>
        </w:rPr>
        <w:t>建筑石膏</w:t>
      </w:r>
      <w:r>
        <w:rPr>
          <w:rFonts w:ascii="Times New Roman"/>
        </w:rPr>
        <w:t>生产企业</w:t>
      </w:r>
      <w:r>
        <w:rPr>
          <w:rFonts w:hint="eastAsia" w:ascii="Times New Roman"/>
        </w:rPr>
        <w:t>核算边界内煤炭、柴油、汽油、天然气等化石燃料在各种类型的固定源（如蒸汽锅炉等）或移动源（如厂内机动车辆等）中发生氧化燃烧过程产生的二氧化碳排放。</w:t>
      </w:r>
    </w:p>
    <w:p>
      <w:pPr>
        <w:pStyle w:val="21"/>
        <w:spacing w:before="156" w:after="156"/>
        <w:rPr>
          <w:rFonts w:hint="eastAsia" w:hAnsi="Times New Roman" w:cs="Times New Roman"/>
          <w:color w:val="auto"/>
          <w:lang w:val="en-US" w:eastAsia="zh-CN"/>
        </w:rPr>
      </w:pPr>
      <w:r>
        <w:rPr>
          <w:rFonts w:hint="eastAsia" w:cs="Times New Roman"/>
          <w:color w:val="auto"/>
          <w:lang w:val="en-US" w:eastAsia="zh-CN"/>
        </w:rPr>
        <w:t>净购入使用电力</w:t>
      </w:r>
      <w:r>
        <w:rPr>
          <w:rFonts w:hint="eastAsia" w:hAnsi="Times New Roman" w:cs="Times New Roman"/>
          <w:color w:val="auto"/>
          <w:lang w:val="en-US" w:eastAsia="zh-CN"/>
        </w:rPr>
        <w:t xml:space="preserve">产生的排放 </w:t>
      </w:r>
    </w:p>
    <w:p>
      <w:pPr>
        <w:pStyle w:val="21"/>
        <w:numPr>
          <w:ilvl w:val="2"/>
          <w:numId w:val="0"/>
        </w:numPr>
        <w:spacing w:before="0" w:beforeLines="0" w:after="0" w:afterLines="0"/>
        <w:ind w:leftChars="0" w:firstLine="420" w:firstLineChars="200"/>
        <w:rPr>
          <w:rFonts w:hint="eastAsia" w:ascii="宋体" w:hAnsi="宋体" w:eastAsia="宋体" w:cs="Times New Roman"/>
          <w:lang w:val="en-US" w:eastAsia="zh-CN"/>
        </w:rPr>
      </w:pPr>
      <w:r>
        <w:rPr>
          <w:rFonts w:hint="eastAsia" w:ascii="宋体" w:hAnsi="宋体" w:eastAsia="宋体" w:cs="Times New Roman"/>
          <w:lang w:val="en-US" w:eastAsia="zh-CN"/>
        </w:rPr>
        <w:t xml:space="preserve">建筑石膏生产企业净购入使用电力所对应的生产环节产生的二氧化碳排放。 </w:t>
      </w:r>
    </w:p>
    <w:p>
      <w:pPr>
        <w:pStyle w:val="21"/>
        <w:spacing w:before="156" w:after="156"/>
        <w:rPr>
          <w:rFonts w:hint="eastAsia" w:hAnsi="Times New Roman" w:cs="Times New Roman"/>
          <w:color w:val="auto"/>
          <w:lang w:val="en-US" w:eastAsia="zh-CN"/>
        </w:rPr>
      </w:pPr>
      <w:r>
        <w:rPr>
          <w:rFonts w:hint="eastAsia" w:cs="Times New Roman"/>
          <w:color w:val="auto"/>
          <w:lang w:val="en-US" w:eastAsia="zh-CN"/>
        </w:rPr>
        <w:t>净购入使用热力</w:t>
      </w:r>
      <w:r>
        <w:rPr>
          <w:rFonts w:hint="eastAsia" w:hAnsi="Times New Roman" w:cs="Times New Roman"/>
          <w:color w:val="auto"/>
          <w:lang w:val="en-US" w:eastAsia="zh-CN"/>
        </w:rPr>
        <w:t xml:space="preserve">产生的排放 </w:t>
      </w:r>
    </w:p>
    <w:p>
      <w:pPr>
        <w:pStyle w:val="18"/>
        <w:rPr>
          <w:rFonts w:hint="eastAsia"/>
          <w:lang w:val="en-US" w:eastAsia="zh-CN"/>
        </w:rPr>
      </w:pPr>
      <w:r>
        <w:rPr>
          <w:rFonts w:hint="eastAsia" w:ascii="宋体" w:hAnsi="宋体" w:eastAsia="宋体" w:cs="Times New Roman"/>
          <w:lang w:val="en-US" w:eastAsia="zh-CN"/>
        </w:rPr>
        <w:t>建筑石膏生产企业</w:t>
      </w:r>
      <w:r>
        <w:rPr>
          <w:rFonts w:hint="eastAsia" w:ascii="Times New Roman"/>
        </w:rPr>
        <w:t>净</w:t>
      </w:r>
      <w:r>
        <w:rPr>
          <w:rFonts w:ascii="Times New Roman"/>
        </w:rPr>
        <w:t>购入</w:t>
      </w:r>
      <w:r>
        <w:rPr>
          <w:rFonts w:hint="eastAsia" w:ascii="Times New Roman"/>
        </w:rPr>
        <w:t>使用</w:t>
      </w:r>
      <w:r>
        <w:rPr>
          <w:rFonts w:ascii="Times New Roman"/>
        </w:rPr>
        <w:t>热力所对应的生产环节产生的</w:t>
      </w:r>
      <w:r>
        <w:rPr>
          <w:rFonts w:hint="eastAsia" w:ascii="Times New Roman"/>
        </w:rPr>
        <w:t>二氧化碳</w:t>
      </w:r>
      <w:r>
        <w:rPr>
          <w:rFonts w:ascii="Times New Roman"/>
        </w:rPr>
        <w:t>排放。</w:t>
      </w:r>
    </w:p>
    <w:p>
      <w:pPr>
        <w:pStyle w:val="20"/>
        <w:rPr>
          <w:rFonts w:hint="eastAsia" w:hAnsi="Times New Roman" w:cs="Times New Roman"/>
          <w:color w:val="000000"/>
          <w:lang w:val="en-US" w:eastAsia="zh-CN"/>
        </w:rPr>
      </w:pPr>
      <w:r>
        <w:rPr>
          <w:rFonts w:hint="eastAsia" w:hAnsi="Times New Roman" w:cs="Times New Roman"/>
          <w:color w:val="000000"/>
          <w:lang w:val="en-US" w:eastAsia="zh-CN"/>
        </w:rPr>
        <w:t xml:space="preserve">核算步骤 </w:t>
      </w:r>
    </w:p>
    <w:p>
      <w:pPr>
        <w:pStyle w:val="21"/>
        <w:keepNext w:val="0"/>
        <w:keepLines w:val="0"/>
        <w:pageBreakBefore w:val="0"/>
        <w:widowControl/>
        <w:numPr>
          <w:ilvl w:val="2"/>
          <w:numId w:val="0"/>
        </w:numPr>
        <w:kinsoku/>
        <w:wordWrap/>
        <w:overflowPunct/>
        <w:topLinePunct w:val="0"/>
        <w:bidi w:val="0"/>
        <w:adjustRightInd/>
        <w:snapToGrid/>
        <w:spacing w:before="0" w:beforeLines="0" w:after="0" w:afterLines="0"/>
        <w:ind w:leftChars="0" w:firstLine="420" w:firstLineChars="200"/>
        <w:textAlignment w:val="auto"/>
        <w:rPr>
          <w:rFonts w:hint="eastAsia" w:ascii="宋体" w:hAnsi="宋体" w:eastAsia="宋体" w:cs="Times New Roman"/>
          <w:lang w:val="en-US" w:eastAsia="zh-CN"/>
        </w:rPr>
      </w:pPr>
      <w:r>
        <w:rPr>
          <w:rFonts w:hint="eastAsia" w:ascii="宋体" w:hAnsi="宋体" w:eastAsia="宋体" w:cs="Times New Roman"/>
          <w:lang w:val="en-US" w:eastAsia="zh-CN"/>
        </w:rPr>
        <w:t xml:space="preserve">报告主体进行企业温室气体排放核算和报告的工作流程包括以下步骤： </w:t>
      </w:r>
    </w:p>
    <w:p>
      <w:pPr>
        <w:pStyle w:val="18"/>
        <w:keepNext w:val="0"/>
        <w:keepLines w:val="0"/>
        <w:pageBreakBefore w:val="0"/>
        <w:widowControl/>
        <w:tabs>
          <w:tab w:val="center" w:pos="4201"/>
          <w:tab w:val="right" w:leader="dot" w:pos="9298"/>
        </w:tabs>
        <w:kinsoku/>
        <w:wordWrap/>
        <w:overflowPunct/>
        <w:topLinePunct w:val="0"/>
        <w:bidi w:val="0"/>
        <w:adjustRightInd/>
        <w:snapToGrid/>
        <w:textAlignment w:val="auto"/>
        <w:rPr>
          <w:rFonts w:hint="eastAsia" w:hAnsi="Times New Roman" w:eastAsia="宋体" w:cs="Times New Roman"/>
          <w:color w:val="auto"/>
          <w:lang w:val="en-US" w:eastAsia="zh-CN"/>
        </w:rPr>
      </w:pPr>
      <w:r>
        <w:rPr>
          <w:rFonts w:hint="eastAsia" w:hAnsi="Times New Roman" w:eastAsia="宋体" w:cs="Times New Roman"/>
          <w:color w:val="auto"/>
          <w:lang w:val="en-US" w:eastAsia="zh-CN"/>
        </w:rPr>
        <w:t xml:space="preserve">a) 识别排放源； </w:t>
      </w:r>
    </w:p>
    <w:p>
      <w:pPr>
        <w:pStyle w:val="18"/>
        <w:keepNext w:val="0"/>
        <w:keepLines w:val="0"/>
        <w:pageBreakBefore w:val="0"/>
        <w:widowControl/>
        <w:tabs>
          <w:tab w:val="center" w:pos="4201"/>
          <w:tab w:val="right" w:leader="dot" w:pos="9298"/>
        </w:tabs>
        <w:kinsoku/>
        <w:wordWrap/>
        <w:overflowPunct/>
        <w:topLinePunct w:val="0"/>
        <w:bidi w:val="0"/>
        <w:adjustRightInd/>
        <w:snapToGrid/>
        <w:textAlignment w:val="auto"/>
        <w:rPr>
          <w:rFonts w:hint="eastAsia" w:hAnsi="Times New Roman" w:eastAsia="宋体" w:cs="Times New Roman"/>
          <w:color w:val="auto"/>
          <w:lang w:val="en-US" w:eastAsia="zh-CN"/>
        </w:rPr>
      </w:pPr>
      <w:r>
        <w:rPr>
          <w:rFonts w:hint="eastAsia" w:hAnsi="Times New Roman" w:eastAsia="宋体" w:cs="Times New Roman"/>
          <w:color w:val="auto"/>
          <w:lang w:val="en-US" w:eastAsia="zh-CN"/>
        </w:rPr>
        <w:t xml:space="preserve">b) 收集活动数据； </w:t>
      </w:r>
    </w:p>
    <w:p>
      <w:pPr>
        <w:pStyle w:val="18"/>
        <w:keepNext w:val="0"/>
        <w:keepLines w:val="0"/>
        <w:pageBreakBefore w:val="0"/>
        <w:widowControl/>
        <w:tabs>
          <w:tab w:val="center" w:pos="4201"/>
          <w:tab w:val="right" w:leader="dot" w:pos="9298"/>
        </w:tabs>
        <w:kinsoku/>
        <w:wordWrap/>
        <w:overflowPunct/>
        <w:topLinePunct w:val="0"/>
        <w:bidi w:val="0"/>
        <w:adjustRightInd/>
        <w:snapToGrid/>
        <w:textAlignment w:val="auto"/>
        <w:rPr>
          <w:rFonts w:hint="eastAsia" w:hAnsi="Times New Roman" w:eastAsia="宋体" w:cs="Times New Roman"/>
          <w:color w:val="auto"/>
          <w:lang w:val="en-US" w:eastAsia="zh-CN"/>
        </w:rPr>
      </w:pPr>
      <w:r>
        <w:rPr>
          <w:rFonts w:hint="eastAsia" w:hAnsi="Times New Roman" w:eastAsia="宋体" w:cs="Times New Roman"/>
          <w:color w:val="auto"/>
          <w:lang w:val="en-US" w:eastAsia="zh-CN"/>
        </w:rPr>
        <w:t xml:space="preserve">c) 确定排放量计算方法； </w:t>
      </w:r>
    </w:p>
    <w:p>
      <w:pPr>
        <w:pStyle w:val="18"/>
        <w:keepNext w:val="0"/>
        <w:keepLines w:val="0"/>
        <w:pageBreakBefore w:val="0"/>
        <w:widowControl/>
        <w:tabs>
          <w:tab w:val="center" w:pos="4201"/>
          <w:tab w:val="right" w:leader="dot" w:pos="9298"/>
        </w:tabs>
        <w:kinsoku/>
        <w:wordWrap/>
        <w:overflowPunct/>
        <w:topLinePunct w:val="0"/>
        <w:bidi w:val="0"/>
        <w:adjustRightInd/>
        <w:snapToGrid/>
        <w:textAlignment w:val="auto"/>
        <w:rPr>
          <w:rFonts w:hint="eastAsia" w:hAnsi="Times New Roman" w:eastAsia="宋体" w:cs="Times New Roman"/>
          <w:color w:val="auto"/>
          <w:lang w:val="en-US" w:eastAsia="zh-CN"/>
        </w:rPr>
      </w:pPr>
      <w:r>
        <w:rPr>
          <w:rFonts w:hint="eastAsia" w:hAnsi="Times New Roman" w:eastAsia="宋体" w:cs="Times New Roman"/>
          <w:color w:val="auto"/>
          <w:lang w:val="en-US" w:eastAsia="zh-CN"/>
        </w:rPr>
        <w:t xml:space="preserve">d) 选择和获取排放因子数据； </w:t>
      </w:r>
    </w:p>
    <w:p>
      <w:pPr>
        <w:pStyle w:val="18"/>
        <w:keepNext w:val="0"/>
        <w:keepLines w:val="0"/>
        <w:pageBreakBefore w:val="0"/>
        <w:widowControl/>
        <w:tabs>
          <w:tab w:val="center" w:pos="4201"/>
          <w:tab w:val="right" w:leader="dot" w:pos="9298"/>
        </w:tabs>
        <w:kinsoku/>
        <w:wordWrap/>
        <w:overflowPunct/>
        <w:topLinePunct w:val="0"/>
        <w:bidi w:val="0"/>
        <w:adjustRightInd/>
        <w:snapToGrid/>
        <w:textAlignment w:val="auto"/>
        <w:rPr>
          <w:rFonts w:hint="eastAsia" w:hAnsi="Times New Roman" w:eastAsia="宋体" w:cs="Times New Roman"/>
          <w:color w:val="auto"/>
          <w:lang w:val="en-US" w:eastAsia="zh-CN"/>
        </w:rPr>
      </w:pPr>
      <w:r>
        <w:rPr>
          <w:rFonts w:hint="eastAsia" w:hAnsi="Times New Roman" w:eastAsia="宋体" w:cs="Times New Roman"/>
          <w:color w:val="auto"/>
          <w:lang w:val="en-US" w:eastAsia="zh-CN"/>
        </w:rPr>
        <w:t>e) 分别计算化石燃料燃烧、</w:t>
      </w:r>
      <w:r>
        <w:rPr>
          <w:rFonts w:hint="eastAsia" w:ascii="Times New Roman"/>
          <w:lang w:val="en-US" w:eastAsia="zh-CN"/>
        </w:rPr>
        <w:t>净</w:t>
      </w:r>
      <w:r>
        <w:rPr>
          <w:rFonts w:ascii="Times New Roman"/>
        </w:rPr>
        <w:t>购入</w:t>
      </w:r>
      <w:r>
        <w:rPr>
          <w:rFonts w:hint="eastAsia" w:ascii="Times New Roman"/>
          <w:lang w:val="en-US" w:eastAsia="zh-CN"/>
        </w:rPr>
        <w:t>使用</w:t>
      </w:r>
      <w:r>
        <w:rPr>
          <w:rFonts w:ascii="Times New Roman"/>
        </w:rPr>
        <w:t>电力</w:t>
      </w:r>
      <w:r>
        <w:rPr>
          <w:rFonts w:hint="eastAsia" w:ascii="Times New Roman"/>
          <w:lang w:val="en-US" w:eastAsia="zh-CN"/>
        </w:rPr>
        <w:t>所对应的排放量和净购入使用</w:t>
      </w:r>
      <w:r>
        <w:rPr>
          <w:rFonts w:ascii="Times New Roman"/>
        </w:rPr>
        <w:t>热力所对应的排放量</w:t>
      </w:r>
      <w:r>
        <w:rPr>
          <w:rFonts w:hint="eastAsia" w:hAnsi="Times New Roman" w:eastAsia="宋体" w:cs="Times New Roman"/>
          <w:color w:val="auto"/>
          <w:lang w:val="en-US" w:eastAsia="zh-CN"/>
        </w:rPr>
        <w:t xml:space="preserve">； </w:t>
      </w:r>
    </w:p>
    <w:p>
      <w:pPr>
        <w:pStyle w:val="18"/>
        <w:keepNext w:val="0"/>
        <w:keepLines w:val="0"/>
        <w:pageBreakBefore w:val="0"/>
        <w:widowControl/>
        <w:tabs>
          <w:tab w:val="center" w:pos="4201"/>
          <w:tab w:val="right" w:leader="dot" w:pos="9298"/>
        </w:tabs>
        <w:kinsoku/>
        <w:wordWrap/>
        <w:overflowPunct/>
        <w:topLinePunct w:val="0"/>
        <w:bidi w:val="0"/>
        <w:adjustRightInd/>
        <w:snapToGrid/>
        <w:textAlignment w:val="auto"/>
        <w:rPr>
          <w:rFonts w:hint="eastAsia" w:hAnsi="Times New Roman" w:eastAsia="宋体" w:cs="Times New Roman"/>
          <w:color w:val="auto"/>
          <w:lang w:val="en-US" w:eastAsia="zh-CN"/>
        </w:rPr>
      </w:pPr>
      <w:r>
        <w:rPr>
          <w:rFonts w:hint="eastAsia" w:hAnsi="Times New Roman" w:eastAsia="宋体" w:cs="Times New Roman"/>
          <w:color w:val="auto"/>
          <w:lang w:val="en-US" w:eastAsia="zh-CN"/>
        </w:rPr>
        <w:t>f) 汇总报告主体</w:t>
      </w:r>
      <w:r>
        <w:rPr>
          <w:rFonts w:hint="eastAsia" w:cs="Times New Roman"/>
          <w:color w:val="auto"/>
          <w:lang w:val="en-US" w:eastAsia="zh-CN"/>
        </w:rPr>
        <w:t>温室气体</w:t>
      </w:r>
      <w:r>
        <w:rPr>
          <w:rFonts w:hint="eastAsia" w:hAnsi="Times New Roman" w:eastAsia="宋体" w:cs="Times New Roman"/>
          <w:color w:val="auto"/>
          <w:lang w:val="en-US" w:eastAsia="zh-CN"/>
        </w:rPr>
        <w:t xml:space="preserve">排放量。 </w:t>
      </w:r>
    </w:p>
    <w:p>
      <w:pPr>
        <w:pStyle w:val="20"/>
        <w:rPr>
          <w:rFonts w:hint="eastAsia" w:hAnsi="Times New Roman" w:cs="Times New Roman"/>
          <w:color w:val="000000"/>
          <w:lang w:val="en-US" w:eastAsia="zh-CN"/>
        </w:rPr>
      </w:pPr>
      <w:r>
        <w:rPr>
          <w:rFonts w:hint="eastAsia" w:hAnsi="Times New Roman" w:cs="Times New Roman"/>
          <w:color w:val="000000"/>
          <w:lang w:val="en-US" w:eastAsia="zh-CN"/>
        </w:rPr>
        <w:t>核算</w:t>
      </w:r>
      <w:r>
        <w:rPr>
          <w:rFonts w:hint="eastAsia" w:ascii="Times New Roman"/>
          <w:lang w:val="en-US" w:eastAsia="zh-CN"/>
        </w:rPr>
        <w:t>要求及排放量计算</w:t>
      </w:r>
      <w:r>
        <w:rPr>
          <w:rFonts w:hint="eastAsia" w:hAnsi="Times New Roman" w:cs="Times New Roman"/>
          <w:color w:val="000000"/>
          <w:lang w:val="en-US" w:eastAsia="zh-CN"/>
        </w:rPr>
        <w:t xml:space="preserve"> </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6" w:name="_Toc128585858"/>
      <w:bookmarkStart w:id="7" w:name="_Toc128508301"/>
      <w:bookmarkStart w:id="8" w:name="_Toc22926"/>
      <w:bookmarkStart w:id="9" w:name="_Toc128508453"/>
      <w:bookmarkStart w:id="10" w:name="_Toc128508369"/>
      <w:r>
        <w:rPr>
          <w:rFonts w:hint="eastAsia" w:ascii="黑体" w:eastAsia="黑体"/>
          <w:kern w:val="0"/>
          <w:sz w:val="21"/>
          <w:szCs w:val="21"/>
          <w:lang w:val="en-US" w:eastAsia="zh-CN"/>
        </w:rPr>
        <w:t>化石燃料燃烧排放</w:t>
      </w:r>
      <w:bookmarkEnd w:id="6"/>
      <w:bookmarkEnd w:id="7"/>
      <w:bookmarkEnd w:id="8"/>
      <w:bookmarkEnd w:id="9"/>
      <w:bookmarkEnd w:id="10"/>
    </w:p>
    <w:p>
      <w:pPr>
        <w:pStyle w:val="21"/>
        <w:spacing w:before="156" w:after="156"/>
        <w:rPr>
          <w:rFonts w:hint="eastAsia" w:hAnsi="Times New Roman" w:cs="Times New Roman"/>
          <w:color w:val="auto"/>
          <w:lang w:val="en-US" w:eastAsia="zh-CN"/>
        </w:rPr>
      </w:pPr>
      <w:r>
        <w:rPr>
          <w:rFonts w:hint="eastAsia" w:hAnsi="Times New Roman" w:cs="Times New Roman"/>
          <w:color w:val="auto"/>
          <w:lang w:val="en-US" w:eastAsia="zh-CN"/>
        </w:rPr>
        <w:t>计算公式</w:t>
      </w:r>
    </w:p>
    <w:p>
      <w:pPr>
        <w:pStyle w:val="44"/>
        <w:ind w:firstLine="420"/>
        <w:rPr>
          <w:rFonts w:ascii="Times New Roman"/>
        </w:rPr>
      </w:pPr>
      <w:r>
        <w:rPr>
          <w:rFonts w:hint="eastAsia" w:ascii="Times New Roman"/>
          <w:lang w:eastAsia="zh-CN"/>
        </w:rPr>
        <w:t>建筑石膏</w:t>
      </w:r>
      <w:r>
        <w:rPr>
          <w:rFonts w:ascii="Times New Roman"/>
        </w:rPr>
        <w:t>生产</w:t>
      </w:r>
      <w:r>
        <w:rPr>
          <w:rFonts w:hint="eastAsia" w:ascii="Times New Roman"/>
        </w:rPr>
        <w:t>企业化石燃料燃烧产生的二氧化碳排放量是核算和报告期内企业各种化石燃料燃烧产生的二氧化碳排放量的总和，按</w:t>
      </w:r>
      <w:r>
        <w:rPr>
          <w:rFonts w:hint="eastAsia" w:ascii="Times New Roman"/>
          <w:lang w:val="en-US" w:eastAsia="zh-CN"/>
        </w:rPr>
        <w:t>公式</w:t>
      </w:r>
      <w:r>
        <w:rPr>
          <w:rFonts w:hint="eastAsia" w:ascii="Times New Roman"/>
        </w:rPr>
        <w:t>（</w:t>
      </w:r>
      <w:r>
        <w:rPr>
          <w:rFonts w:hint="eastAsia" w:ascii="Times New Roman"/>
          <w:lang w:val="en-US" w:eastAsia="zh-CN"/>
        </w:rPr>
        <w:t>1</w:t>
      </w:r>
      <w:r>
        <w:rPr>
          <w:rFonts w:hint="eastAsia" w:ascii="Times New Roman"/>
        </w:rPr>
        <w:t>）计算：</w:t>
      </w:r>
    </w:p>
    <w:p>
      <w:pPr>
        <w:pStyle w:val="50"/>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燃烧</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(A</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nary>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1</w:t>
      </w:r>
      <w:r>
        <w:rPr>
          <w:rFonts w:hint="eastAsia" w:ascii="Times New Roman" w:hAnsi="Times New Roman"/>
        </w:rPr>
        <w:t>）</w:t>
      </w:r>
    </w:p>
    <w:p>
      <w:pPr>
        <w:pStyle w:val="51"/>
        <w:ind w:firstLine="420"/>
        <w:rPr>
          <w:rFonts w:ascii="Times New Roman" w:hAnsi="Times New Roman"/>
        </w:rPr>
      </w:pPr>
      <w:r>
        <w:rPr>
          <w:rFonts w:ascii="Times New Roman" w:hAnsi="Times New Roman"/>
        </w:rPr>
        <w:t>式中：</w:t>
      </w:r>
    </w:p>
    <w:tbl>
      <w:tblPr>
        <w:tblStyle w:val="12"/>
        <w:tblW w:w="4999"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93"/>
        <w:gridCol w:w="356"/>
        <w:gridCol w:w="8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10" w:type="pct"/>
            <w:vAlign w:val="top"/>
          </w:tcPr>
          <w:p>
            <w:pPr>
              <w:pStyle w:val="44"/>
              <w:widowControl w:val="0"/>
              <w:adjustRightInd w:val="0"/>
              <w:snapToGrid w:val="0"/>
              <w:ind w:firstLine="0" w:firstLineChars="0"/>
              <w:rPr>
                <w:rFonts w:ascii="Cambria Math" w:hAnsi="Cambria Math"/>
                <w:i/>
                <w:oMath/>
              </w:rPr>
            </w:pPr>
            <m:oMathPara>
              <m:oMathParaPr>
                <m:jc m:val="left"/>
              </m:oMathParaP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ascii="Cambria Math" w:hAnsi="Cambria Math"/>
                      </w:rPr>
                      <m:t>燃烧</m:t>
                    </m:r>
                    <m:ctrlPr>
                      <w:rPr>
                        <w:rFonts w:ascii="Cambria Math" w:hAnsi="Cambria Math"/>
                        <w:i/>
                        <w:iCs/>
                      </w:rPr>
                    </m:ctrlPr>
                  </m:sub>
                </m:sSub>
              </m:oMath>
            </m:oMathPara>
          </w:p>
        </w:tc>
        <w:tc>
          <w:tcPr>
            <w:tcW w:w="186" w:type="pct"/>
            <w:vAlign w:val="top"/>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503" w:type="pct"/>
            <w:vAlign w:val="top"/>
          </w:tcPr>
          <w:p>
            <w:pPr>
              <w:pStyle w:val="44"/>
              <w:widowControl w:val="0"/>
              <w:adjustRightInd w:val="0"/>
              <w:snapToGrid w:val="0"/>
              <w:ind w:left="-120" w:leftChars="-50" w:firstLine="0" w:firstLineChars="0"/>
              <w:rPr>
                <w:rFonts w:ascii="Times New Roman"/>
              </w:rPr>
            </w:pPr>
            <w:r>
              <w:rPr>
                <w:rFonts w:hint="eastAsia" w:ascii="Times New Roman"/>
              </w:rPr>
              <w:t>企业</w:t>
            </w:r>
            <w:r>
              <w:rPr>
                <w:rFonts w:ascii="Times New Roman"/>
              </w:rPr>
              <w:t>化石燃料燃烧产生的二氧化碳排放量，</w:t>
            </w:r>
            <w:r>
              <w:rPr>
                <w:rFonts w:hint="eastAsia" w:ascii="Times New Roman"/>
              </w:rPr>
              <w:t>以</w:t>
            </w:r>
            <w:r>
              <w:rPr>
                <w:rFonts w:ascii="Times New Roman"/>
              </w:rPr>
              <w:t>吨二氧化碳（tCO</w:t>
            </w:r>
            <w:r>
              <w:rPr>
                <w:rFonts w:ascii="Times New Roman"/>
                <w:vertAlign w:val="subscript"/>
              </w:rPr>
              <w:t>2</w:t>
            </w:r>
            <w:r>
              <w:rPr>
                <w:rFonts w:ascii="Times New Roman"/>
              </w:rPr>
              <w:t>）</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10"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rPr>
                  <m:t>A</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503" w:type="pct"/>
          </w:tcPr>
          <w:p>
            <w:pPr>
              <w:pStyle w:val="44"/>
              <w:widowControl w:val="0"/>
              <w:adjustRightInd w:val="0"/>
              <w:snapToGrid w:val="0"/>
              <w:ind w:left="-120" w:leftChars="-50" w:firstLine="0" w:firstLineChars="0"/>
              <w:rPr>
                <w:rFonts w:ascii="Times New Roman"/>
              </w:rPr>
            </w:pPr>
            <w:r>
              <w:rPr>
                <w:rFonts w:ascii="Times New Roman"/>
              </w:rPr>
              <w:t>核算和报告期内消耗的第</w:t>
            </w:r>
            <m:oMath>
              <m:r>
                <m:rPr/>
                <w:rPr>
                  <w:rFonts w:ascii="Cambria Math" w:hAnsi="Cambria Math"/>
                </w:rPr>
                <m:t>i</m:t>
              </m:r>
            </m:oMath>
            <w:r>
              <w:rPr>
                <w:rFonts w:ascii="Times New Roman"/>
              </w:rPr>
              <w:t>种化石燃料的活动数据，</w:t>
            </w:r>
            <w:r>
              <w:rPr>
                <w:rFonts w:hint="eastAsia" w:ascii="Times New Roman"/>
              </w:rPr>
              <w:t>以</w:t>
            </w:r>
            <w:r>
              <w:rPr>
                <w:rFonts w:ascii="Times New Roman"/>
              </w:rPr>
              <w:t>吉焦（GJ）</w:t>
            </w:r>
            <w:r>
              <w:rPr>
                <w:rFonts w:hint="eastAsia" w:ascii="Times New Roman"/>
              </w:rPr>
              <w:t>计</w:t>
            </w:r>
            <w:r>
              <w:rPr>
                <w:rFonts w:ascii="Times New Roman"/>
              </w:rPr>
              <w:t>，按</w:t>
            </w:r>
            <w:r>
              <w:rPr>
                <w:rFonts w:hint="eastAsia" w:ascii="Times New Roman"/>
                <w:lang w:eastAsia="zh-CN"/>
              </w:rPr>
              <w:t>公式（</w:t>
            </w:r>
            <w:r>
              <w:rPr>
                <w:rFonts w:hint="eastAsia" w:ascii="Times New Roman"/>
                <w:lang w:val="en-US" w:eastAsia="zh-CN"/>
              </w:rPr>
              <w:t>2</w:t>
            </w:r>
            <w:r>
              <w:rPr>
                <w:rFonts w:ascii="Times New Roman"/>
              </w:rPr>
              <w:t>）计算；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10" w:type="pct"/>
          </w:tcPr>
          <w:p>
            <w:pPr>
              <w:pStyle w:val="44"/>
              <w:widowControl w:val="0"/>
              <w:adjustRightInd w:val="0"/>
              <w:snapToGrid w:val="0"/>
              <w:ind w:firstLine="0" w:firstLineChars="0"/>
              <w:rPr>
                <w:rFonts w:ascii="Times New Roman"/>
                <w:iCs/>
              </w:rPr>
            </w:pPr>
            <m:oMathPara>
              <m:oMathParaPr>
                <m:jc m:val="left"/>
              </m:oMathParaPr>
              <m:oMath>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i</m:t>
                    </m:r>
                    <m:ctrlPr>
                      <w:rPr>
                        <w:rFonts w:ascii="Cambria Math" w:hAnsi="Cambria Math"/>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503" w:type="pct"/>
          </w:tcPr>
          <w:p>
            <w:pPr>
              <w:pStyle w:val="44"/>
              <w:widowControl w:val="0"/>
              <w:adjustRightInd w:val="0"/>
              <w:snapToGrid w:val="0"/>
              <w:ind w:left="-120" w:leftChars="-50" w:firstLine="0" w:firstLineChars="0"/>
              <w:rPr>
                <w:rFonts w:ascii="Times New Roman"/>
              </w:rPr>
            </w:pPr>
            <w:r>
              <w:rPr>
                <w:rFonts w:ascii="Times New Roman"/>
              </w:rPr>
              <w:t>第</w:t>
            </w:r>
            <m:oMath>
              <m:r>
                <m:rPr/>
                <w:rPr>
                  <w:rFonts w:ascii="Cambria Math" w:hAnsi="Cambria Math"/>
                </w:rPr>
                <m:t>i</m:t>
              </m:r>
            </m:oMath>
            <w:r>
              <w:rPr>
                <w:rFonts w:ascii="Times New Roman"/>
              </w:rPr>
              <w:t>种化石燃料的二氧化碳排放因子，</w:t>
            </w:r>
            <w:r>
              <w:rPr>
                <w:rFonts w:hint="eastAsia" w:ascii="Times New Roman"/>
              </w:rPr>
              <w:t>以</w:t>
            </w:r>
            <w:r>
              <w:rPr>
                <w:rFonts w:ascii="Times New Roman"/>
              </w:rPr>
              <w:t>吨二氧化碳每吉焦（tCO</w:t>
            </w:r>
            <w:r>
              <w:rPr>
                <w:rFonts w:ascii="Times New Roman"/>
                <w:vertAlign w:val="subscript"/>
              </w:rPr>
              <w:t>2</w:t>
            </w:r>
            <w:r>
              <w:rPr>
                <w:rFonts w:ascii="Times New Roman"/>
              </w:rPr>
              <w:t>/GJ）</w:t>
            </w:r>
            <w:r>
              <w:rPr>
                <w:rFonts w:hint="eastAsia" w:ascii="Times New Roman"/>
              </w:rPr>
              <w:t>计</w:t>
            </w:r>
            <w:r>
              <w:rPr>
                <w:rFonts w:ascii="Times New Roman"/>
              </w:rPr>
              <w:t>，按</w:t>
            </w:r>
            <w:r>
              <w:rPr>
                <w:rFonts w:hint="eastAsia" w:ascii="Times New Roman"/>
                <w:lang w:eastAsia="zh-CN"/>
              </w:rPr>
              <w:t>公式（</w:t>
            </w:r>
            <w:r>
              <w:rPr>
                <w:rFonts w:hint="eastAsia" w:ascii="Times New Roman"/>
                <w:lang w:val="en-US" w:eastAsia="zh-CN"/>
              </w:rPr>
              <w:t>3</w:t>
            </w:r>
            <w:r>
              <w:rPr>
                <w:rFonts w:ascii="Times New Roman"/>
              </w:rPr>
              <w:t>）计算；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10" w:type="pct"/>
          </w:tcPr>
          <w:p>
            <w:pPr>
              <w:pStyle w:val="44"/>
              <w:widowControl w:val="0"/>
              <w:adjustRightInd w:val="0"/>
              <w:snapToGrid w:val="0"/>
              <w:ind w:firstLine="0" w:firstLineChars="0"/>
              <w:rPr>
                <w:rFonts w:ascii="Times New Roman"/>
                <w:iCs/>
              </w:rPr>
            </w:pPr>
            <m:oMathPara>
              <m:oMathParaPr>
                <m:jc m:val="left"/>
              </m:oMathParaPr>
              <m:oMath>
                <m:r>
                  <m:rPr/>
                  <w:rPr>
                    <w:rFonts w:ascii="Cambria Math" w:hAnsi="Cambria Math"/>
                  </w:rPr>
                  <m:t>i</m:t>
                </m:r>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503" w:type="pct"/>
          </w:tcPr>
          <w:p>
            <w:pPr>
              <w:pStyle w:val="44"/>
              <w:widowControl w:val="0"/>
              <w:adjustRightInd w:val="0"/>
              <w:snapToGrid w:val="0"/>
              <w:ind w:left="-120" w:leftChars="-50" w:firstLine="0" w:firstLineChars="0"/>
              <w:rPr>
                <w:rFonts w:ascii="Times New Roman"/>
              </w:rPr>
            </w:pPr>
            <w:r>
              <w:rPr>
                <w:rFonts w:ascii="Times New Roman"/>
              </w:rPr>
              <w:t>化石燃料类型代号。</w:t>
            </w:r>
          </w:p>
        </w:tc>
      </w:tr>
    </w:tbl>
    <w:p>
      <w:pPr>
        <w:pStyle w:val="50"/>
        <w:rPr>
          <w:rFonts w:ascii="Times New Roman" w:hAnsi="Times New Roman"/>
        </w:rPr>
      </w:pPr>
      <w:r>
        <w:rPr>
          <w:rFonts w:ascii="Times New Roman" w:hAnsi="Times New Roman"/>
        </w:rPr>
        <w:tab/>
      </w:r>
      <m:oMath>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=F</m:t>
        </m:r>
        <m:sSub>
          <m:sSubPr>
            <m:ctrlPr>
              <w:rPr>
                <w:rFonts w:ascii="Cambria Math" w:hAnsi="Cambria Math"/>
                <w:i/>
                <w:iCs/>
              </w:rPr>
            </m:ctrlPr>
          </m:sSubPr>
          <m:e>
            <m:r>
              <m:rPr/>
              <w:rPr>
                <w:rFonts w:ascii="Cambria Math" w:hAnsi="Cambria Math"/>
              </w:rPr>
              <m:t>C</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×NC</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i</m:t>
            </m:r>
            <m:ctrlPr>
              <w:rPr>
                <w:rFonts w:ascii="Cambria Math" w:hAnsi="Cambria Math"/>
                <w:i/>
                <w:iCs/>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2</w:t>
      </w:r>
      <w:r>
        <w:rPr>
          <w:rFonts w:hint="eastAsia" w:ascii="Times New Roman" w:hAnsi="Times New Roman"/>
        </w:rPr>
        <w:t>）</w:t>
      </w:r>
    </w:p>
    <w:p>
      <w:pPr>
        <w:pStyle w:val="51"/>
        <w:ind w:firstLine="420"/>
        <w:rPr>
          <w:rFonts w:ascii="Times New Roman" w:hAnsi="Times New Roman"/>
        </w:rPr>
      </w:pPr>
      <w:r>
        <w:rPr>
          <w:rFonts w:ascii="Times New Roman" w:hAnsi="Times New Roman"/>
        </w:rPr>
        <w:t>式中：</w:t>
      </w:r>
    </w:p>
    <w:tbl>
      <w:tblPr>
        <w:tblStyle w:val="12"/>
        <w:tblW w:w="4998"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12"/>
        <w:gridCol w:w="356"/>
        <w:gridCol w:w="84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72" w:type="pct"/>
          </w:tcPr>
          <w:p>
            <w:pPr>
              <w:pStyle w:val="44"/>
              <w:widowControl w:val="0"/>
              <w:adjustRightInd w:val="0"/>
              <w:snapToGrid w:val="0"/>
              <w:ind w:firstLine="0" w:firstLineChars="0"/>
              <w:rPr>
                <w:rFonts w:ascii="Times New Roman"/>
                <w:iCs/>
              </w:rPr>
            </w:pPr>
            <m:oMathPara>
              <m:oMathParaPr>
                <m:jc m:val="left"/>
              </m:oMathParaPr>
              <m:oMath>
                <m:r>
                  <m:rPr/>
                  <w:rPr>
                    <w:rFonts w:ascii="Cambria Math" w:hAnsi="Cambria Math"/>
                  </w:rPr>
                  <m:t>F</m:t>
                </m:r>
                <m:sSub>
                  <m:sSubPr>
                    <m:ctrlPr>
                      <w:rPr>
                        <w:rFonts w:ascii="Cambria Math" w:hAnsi="Cambria Math"/>
                        <w:i/>
                        <w:iCs/>
                      </w:rPr>
                    </m:ctrlPr>
                  </m:sSubPr>
                  <m:e>
                    <m:r>
                      <m:rPr/>
                      <w:rPr>
                        <w:rFonts w:ascii="Cambria Math" w:hAnsi="Cambria Math"/>
                      </w:rPr>
                      <m:t>C</m:t>
                    </m:r>
                    <m:ctrlPr>
                      <w:rPr>
                        <w:rFonts w:ascii="Cambria Math" w:hAnsi="Cambria Math"/>
                        <w:i/>
                        <w:iCs/>
                      </w:rPr>
                    </m:ctrlPr>
                  </m:e>
                  <m:sub>
                    <m:r>
                      <m:rPr/>
                      <w:rPr>
                        <w:rFonts w:ascii="Cambria Math" w:hAnsi="Cambria Math"/>
                      </w:rPr>
                      <m:t>i</m:t>
                    </m:r>
                    <m:ctrlPr>
                      <w:rPr>
                        <w:rFonts w:ascii="Cambria Math" w:hAnsi="Cambria Math"/>
                        <w:i/>
                        <w:iCs/>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41" w:type="pct"/>
          </w:tcPr>
          <w:p>
            <w:pPr>
              <w:pStyle w:val="44"/>
              <w:widowControl w:val="0"/>
              <w:adjustRightInd w:val="0"/>
              <w:snapToGrid w:val="0"/>
              <w:ind w:left="-120" w:leftChars="-50" w:firstLine="0" w:firstLineChars="0"/>
              <w:rPr>
                <w:rFonts w:ascii="Times New Roman"/>
              </w:rPr>
            </w:pPr>
            <w:r>
              <w:rPr>
                <w:rFonts w:ascii="Times New Roman"/>
              </w:rPr>
              <w:t>核算和报告期内第</w:t>
            </w:r>
            <m:oMath>
              <m:r>
                <m:rPr/>
                <w:rPr>
                  <w:rFonts w:ascii="Cambria Math" w:hAnsi="Cambria Math"/>
                </w:rPr>
                <m:t>i</m:t>
              </m:r>
            </m:oMath>
            <w:r>
              <w:rPr>
                <w:rFonts w:ascii="Times New Roman"/>
              </w:rPr>
              <w:t>种化石燃料的净消耗量。对固</w:t>
            </w:r>
            <w:r>
              <w:rPr>
                <w:rFonts w:hint="eastAsia" w:ascii="Times New Roman"/>
              </w:rPr>
              <w:t>态</w:t>
            </w:r>
            <w:r>
              <w:rPr>
                <w:rFonts w:ascii="Times New Roman"/>
              </w:rPr>
              <w:t>或液</w:t>
            </w:r>
            <w:r>
              <w:rPr>
                <w:rFonts w:hint="eastAsia" w:ascii="Times New Roman"/>
              </w:rPr>
              <w:t>态</w:t>
            </w:r>
            <w:r>
              <w:rPr>
                <w:rFonts w:ascii="Times New Roman"/>
              </w:rPr>
              <w:t>燃料，</w:t>
            </w:r>
            <w:r>
              <w:rPr>
                <w:rFonts w:hint="eastAsia" w:ascii="Times New Roman"/>
              </w:rPr>
              <w:t>以</w:t>
            </w:r>
            <w:r>
              <w:rPr>
                <w:rFonts w:ascii="Times New Roman"/>
              </w:rPr>
              <w:t>吨（t）</w:t>
            </w:r>
            <w:r>
              <w:rPr>
                <w:rFonts w:hint="eastAsia" w:ascii="Times New Roman"/>
              </w:rPr>
              <w:t>计</w:t>
            </w:r>
            <w:r>
              <w:rPr>
                <w:rFonts w:ascii="Times New Roman"/>
              </w:rPr>
              <w:t>；对气</w:t>
            </w:r>
            <w:r>
              <w:rPr>
                <w:rFonts w:hint="eastAsia" w:ascii="Times New Roman"/>
              </w:rPr>
              <w:t>态</w:t>
            </w:r>
            <w:r>
              <w:rPr>
                <w:rFonts w:ascii="Times New Roman"/>
              </w:rPr>
              <w:t>燃料，</w:t>
            </w:r>
            <w:r>
              <w:rPr>
                <w:rFonts w:hint="eastAsia" w:ascii="Times New Roman"/>
              </w:rPr>
              <w:t>以</w:t>
            </w:r>
            <w:r>
              <w:rPr>
                <w:rFonts w:ascii="Times New Roman"/>
              </w:rPr>
              <w:t>万标立方米（10</w:t>
            </w:r>
            <w:r>
              <w:rPr>
                <w:rFonts w:ascii="Times New Roman"/>
                <w:vertAlign w:val="superscript"/>
              </w:rPr>
              <w:t>4</w:t>
            </w:r>
            <w:r>
              <w:rPr>
                <w:rFonts w:ascii="Times New Roman"/>
              </w:rPr>
              <w:t>Nm</w:t>
            </w:r>
            <w:r>
              <w:rPr>
                <w:rFonts w:ascii="Times New Roman"/>
                <w:vertAlign w:val="superscript"/>
              </w:rPr>
              <w:t>3</w:t>
            </w:r>
            <w:r>
              <w:rPr>
                <w:rFonts w:ascii="Times New Roman"/>
              </w:rPr>
              <w:t>）</w:t>
            </w:r>
            <w:r>
              <w:rPr>
                <w:rFonts w:hint="eastAsia" w:ascii="Times New Roma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72"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rPr>
                  <m:t>NC</m:t>
                </m:r>
                <m:sSub>
                  <m:sSubPr>
                    <m:ctrlPr>
                      <w:rPr>
                        <w:rFonts w:ascii="Cambria Math" w:hAnsi="Cambria Math"/>
                        <w:i/>
                        <w:iCs/>
                      </w:rPr>
                    </m:ctrlPr>
                  </m:sSubPr>
                  <m:e>
                    <m:r>
                      <m:rPr/>
                      <w:rPr>
                        <w:rFonts w:ascii="Cambria Math" w:hAnsi="Cambria Math"/>
                      </w:rPr>
                      <m:t>V</m:t>
                    </m:r>
                    <m:ctrlPr>
                      <w:rPr>
                        <w:rFonts w:ascii="Cambria Math" w:hAnsi="Cambria Math"/>
                        <w:i/>
                        <w:iCs/>
                      </w:rPr>
                    </m:ctrlPr>
                  </m:e>
                  <m:sub>
                    <m:r>
                      <m:rPr/>
                      <w:rPr>
                        <w:rFonts w:ascii="Cambria Math" w:hAnsi="Cambria Math"/>
                      </w:rPr>
                      <m:t>i</m:t>
                    </m:r>
                    <m:ctrlPr>
                      <w:rPr>
                        <w:rFonts w:ascii="Cambria Math" w:hAnsi="Cambria Math"/>
                        <w:i/>
                        <w:iCs/>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41" w:type="pct"/>
          </w:tcPr>
          <w:p>
            <w:pPr>
              <w:pStyle w:val="44"/>
              <w:widowControl w:val="0"/>
              <w:adjustRightInd w:val="0"/>
              <w:snapToGrid w:val="0"/>
              <w:ind w:left="-120" w:leftChars="-50" w:firstLine="0" w:firstLineChars="0"/>
              <w:rPr>
                <w:rFonts w:ascii="Times New Roman"/>
              </w:rPr>
            </w:pPr>
            <w:r>
              <w:rPr>
                <w:rFonts w:ascii="Times New Roman"/>
              </w:rPr>
              <w:t>核算和报告期内第</w:t>
            </w:r>
            <m:oMath>
              <m:r>
                <m:rPr/>
                <w:rPr>
                  <w:rFonts w:ascii="Cambria Math" w:hAnsi="Cambria Math"/>
                </w:rPr>
                <m:t>i</m:t>
              </m:r>
            </m:oMath>
            <w:r>
              <w:rPr>
                <w:rFonts w:ascii="Times New Roman"/>
              </w:rPr>
              <w:t>种化石燃料的平均低位发热量。对固</w:t>
            </w:r>
            <w:r>
              <w:rPr>
                <w:rFonts w:hint="eastAsia" w:ascii="Times New Roman"/>
              </w:rPr>
              <w:t>态</w:t>
            </w:r>
            <w:r>
              <w:rPr>
                <w:rFonts w:ascii="Times New Roman"/>
              </w:rPr>
              <w:t>或液</w:t>
            </w:r>
            <w:r>
              <w:rPr>
                <w:rFonts w:hint="eastAsia" w:ascii="Times New Roman"/>
              </w:rPr>
              <w:t>态</w:t>
            </w:r>
            <w:r>
              <w:rPr>
                <w:rFonts w:ascii="Times New Roman"/>
              </w:rPr>
              <w:t>燃料，</w:t>
            </w:r>
            <w:r>
              <w:rPr>
                <w:rFonts w:hint="eastAsia" w:ascii="Times New Roman"/>
              </w:rPr>
              <w:t>以</w:t>
            </w:r>
            <w:r>
              <w:rPr>
                <w:rFonts w:ascii="Times New Roman"/>
              </w:rPr>
              <w:t>吉焦每吨（GJ/t）</w:t>
            </w:r>
            <w:r>
              <w:rPr>
                <w:rFonts w:hint="eastAsia" w:ascii="Times New Roman"/>
              </w:rPr>
              <w:t>计</w:t>
            </w:r>
            <w:r>
              <w:rPr>
                <w:rFonts w:ascii="Times New Roman"/>
              </w:rPr>
              <w:t>；对气</w:t>
            </w:r>
            <w:r>
              <w:rPr>
                <w:rFonts w:hint="eastAsia" w:ascii="Times New Roman"/>
              </w:rPr>
              <w:t>态</w:t>
            </w:r>
            <w:r>
              <w:rPr>
                <w:rFonts w:ascii="Times New Roman"/>
              </w:rPr>
              <w:t>燃料，</w:t>
            </w:r>
            <w:r>
              <w:rPr>
                <w:rFonts w:hint="eastAsia" w:ascii="Times New Roman"/>
              </w:rPr>
              <w:t>以</w:t>
            </w:r>
            <w:r>
              <w:rPr>
                <w:rFonts w:ascii="Times New Roman"/>
              </w:rPr>
              <w:t>吉焦每万标立方米（GJ/10</w:t>
            </w:r>
            <w:r>
              <w:rPr>
                <w:rFonts w:ascii="Times New Roman"/>
                <w:vertAlign w:val="superscript"/>
              </w:rPr>
              <w:t>4</w:t>
            </w:r>
            <w:r>
              <w:rPr>
                <w:rFonts w:ascii="Times New Roman"/>
              </w:rPr>
              <w:t>Nm</w:t>
            </w:r>
            <w:r>
              <w:rPr>
                <w:rFonts w:ascii="Times New Roman"/>
                <w:vertAlign w:val="superscript"/>
              </w:rPr>
              <w:t>3</w:t>
            </w:r>
            <w:r>
              <w:rPr>
                <w:rFonts w:ascii="Times New Roman"/>
              </w:rPr>
              <w:t>）</w:t>
            </w:r>
            <w:r>
              <w:rPr>
                <w:rFonts w:hint="eastAsia" w:ascii="Times New Roman"/>
              </w:rPr>
              <w:t>计。</w:t>
            </w:r>
          </w:p>
        </w:tc>
      </w:tr>
    </w:tbl>
    <w:p>
      <w:pPr>
        <w:pStyle w:val="50"/>
        <w:rPr>
          <w:rFonts w:ascii="Times New Roman" w:hAnsi="Times New Roman"/>
        </w:rPr>
      </w:pPr>
      <w:r>
        <w:rPr>
          <w:rFonts w:ascii="Times New Roman" w:hAnsi="Times New Roman"/>
        </w:rPr>
        <w:tab/>
      </w:r>
      <m:oMath>
        <m:r>
          <m:rPr/>
          <w:rPr>
            <w:rFonts w:ascii="Cambria Math" w:hAnsi="Cambria Math"/>
          </w:rPr>
          <m:t>E</m:t>
        </m:r>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=C</m:t>
        </m:r>
        <m:sSub>
          <m:sSubPr>
            <m:ctrlPr>
              <w:rPr>
                <w:rFonts w:ascii="Cambria Math" w:hAnsi="Cambria Math"/>
                <w:i/>
                <w:iCs/>
              </w:rPr>
            </m:ctrlPr>
          </m:sSubPr>
          <m:e>
            <m:r>
              <m:rPr/>
              <w:rPr>
                <w:rFonts w:ascii="Cambria Math" w:hAnsi="Cambria Math"/>
              </w:rPr>
              <m:t>C</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×O</m:t>
        </m:r>
        <m:sSub>
          <m:sSubPr>
            <m:ctrlPr>
              <w:rPr>
                <w:rFonts w:ascii="Cambria Math" w:hAnsi="Cambria Math"/>
                <w:i/>
                <w:iCs/>
              </w:rPr>
            </m:ctrlPr>
          </m:sSubPr>
          <m:e>
            <m:r>
              <m:rPr/>
              <w:rPr>
                <w:rFonts w:ascii="Cambria Math" w:hAnsi="Cambria Math"/>
              </w:rPr>
              <m:t>F</m:t>
            </m:r>
            <m:ctrlPr>
              <w:rPr>
                <w:rFonts w:ascii="Cambria Math" w:hAnsi="Cambria Math"/>
                <w:i/>
                <w:iCs/>
              </w:rPr>
            </m:ctrlPr>
          </m:e>
          <m:sub>
            <m:r>
              <m:rPr/>
              <w:rPr>
                <w:rFonts w:ascii="Cambria Math" w:hAnsi="Cambria Math"/>
              </w:rPr>
              <m:t>i</m:t>
            </m:r>
            <m:ctrlPr>
              <w:rPr>
                <w:rFonts w:ascii="Cambria Math" w:hAnsi="Cambria Math"/>
                <w:i/>
                <w:iCs/>
              </w:rPr>
            </m:ctrlPr>
          </m:sub>
        </m:sSub>
        <m:r>
          <m:rPr/>
          <w:rPr>
            <w:rFonts w:ascii="Cambria Math" w:hAnsi="Cambria Math"/>
          </w:rPr>
          <m:t>×</m:t>
        </m:r>
        <m:f>
          <m:fPr>
            <m:ctrlPr>
              <w:rPr>
                <w:rFonts w:ascii="Cambria Math" w:hAnsi="Cambria Math"/>
                <w:i/>
                <w:iCs/>
              </w:rPr>
            </m:ctrlPr>
          </m:fPr>
          <m:num>
            <m:r>
              <m:rPr/>
              <w:rPr>
                <w:rFonts w:ascii="Cambria Math" w:hAnsi="Cambria Math"/>
              </w:rPr>
              <m:t>44</m:t>
            </m:r>
            <m:ctrlPr>
              <w:rPr>
                <w:rFonts w:ascii="Cambria Math" w:hAnsi="Cambria Math"/>
                <w:i/>
                <w:iCs/>
              </w:rPr>
            </m:ctrlPr>
          </m:num>
          <m:den>
            <m:r>
              <m:rPr/>
              <w:rPr>
                <w:rFonts w:ascii="Cambria Math" w:hAnsi="Cambria Math"/>
              </w:rPr>
              <m:t>12</m:t>
            </m:r>
            <m:ctrlPr>
              <w:rPr>
                <w:rFonts w:ascii="Cambria Math" w:hAnsi="Cambria Math"/>
                <w:i/>
                <w:iCs/>
              </w:rPr>
            </m:ctrlPr>
          </m:den>
        </m:f>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3</w:t>
      </w:r>
      <w:r>
        <w:rPr>
          <w:rFonts w:hint="eastAsia" w:ascii="Times New Roman" w:hAnsi="Times New Roman"/>
        </w:rPr>
        <w:t>）</w:t>
      </w:r>
    </w:p>
    <w:p>
      <w:pPr>
        <w:pStyle w:val="51"/>
        <w:ind w:firstLine="420"/>
        <w:rPr>
          <w:rFonts w:ascii="Times New Roman" w:hAnsi="Times New Roman"/>
        </w:rPr>
      </w:pPr>
      <w:r>
        <w:rPr>
          <w:rFonts w:ascii="Times New Roman" w:hAnsi="Times New Roman"/>
        </w:rPr>
        <w:t>式中：</w:t>
      </w:r>
    </w:p>
    <w:tbl>
      <w:tblPr>
        <w:tblStyle w:val="12"/>
        <w:tblW w:w="4998"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4"/>
        <w:gridCol w:w="356"/>
        <w:gridCol w:w="87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248" w:type="pct"/>
          </w:tcPr>
          <w:p>
            <w:pPr>
              <w:pStyle w:val="44"/>
              <w:widowControl w:val="0"/>
              <w:adjustRightInd w:val="0"/>
              <w:snapToGrid w:val="0"/>
              <w:ind w:firstLine="0" w:firstLineChars="0"/>
              <w:rPr>
                <w:rFonts w:ascii="Times New Roman"/>
                <w:iCs/>
              </w:rPr>
            </w:pPr>
            <m:oMathPara>
              <m:oMathParaPr>
                <m:jc m:val="left"/>
              </m:oMathParaPr>
              <m:oMath>
                <m:r>
                  <m:rPr/>
                  <w:rPr>
                    <w:rFonts w:ascii="Cambria Math" w:hAnsi="Cambria Math"/>
                    <w:szCs w:val="21"/>
                  </w:rPr>
                  <m:t>C</m:t>
                </m:r>
                <m:sSub>
                  <m:sSubPr>
                    <m:ctrlPr>
                      <w:rPr>
                        <w:rFonts w:ascii="Cambria Math" w:hAnsi="Cambria Math"/>
                        <w:i/>
                        <w:iCs/>
                        <w:szCs w:val="21"/>
                      </w:rPr>
                    </m:ctrlPr>
                  </m:sSubPr>
                  <m:e>
                    <m:r>
                      <m:rPr/>
                      <w:rPr>
                        <w:rFonts w:ascii="Cambria Math" w:hAnsi="Cambria Math"/>
                        <w:szCs w:val="21"/>
                      </w:rPr>
                      <m:t>C</m:t>
                    </m:r>
                    <m:ctrlPr>
                      <w:rPr>
                        <w:rFonts w:ascii="Cambria Math" w:hAnsi="Cambria Math"/>
                        <w:i/>
                        <w:iCs/>
                        <w:szCs w:val="21"/>
                      </w:rPr>
                    </m:ctrlPr>
                  </m:e>
                  <m:sub>
                    <m:r>
                      <m:rPr/>
                      <w:rPr>
                        <w:rFonts w:ascii="Cambria Math" w:hAnsi="Cambria Math"/>
                        <w:szCs w:val="21"/>
                      </w:rPr>
                      <m:t>i</m:t>
                    </m:r>
                    <m:ctrlPr>
                      <w:rPr>
                        <w:rFonts w:ascii="Cambria Math" w:hAnsi="Cambria Math"/>
                        <w:i/>
                        <w:iCs/>
                        <w:szCs w:val="21"/>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565" w:type="pct"/>
          </w:tcPr>
          <w:p>
            <w:pPr>
              <w:pStyle w:val="44"/>
              <w:widowControl w:val="0"/>
              <w:adjustRightInd w:val="0"/>
              <w:snapToGrid w:val="0"/>
              <w:ind w:left="-120" w:leftChars="-50" w:firstLine="0" w:firstLineChars="0"/>
              <w:rPr>
                <w:rFonts w:ascii="Times New Roman"/>
              </w:rPr>
            </w:pPr>
            <w:r>
              <w:rPr>
                <w:rFonts w:ascii="Times New Roman"/>
              </w:rPr>
              <w:t>第</w:t>
            </w:r>
            <m:oMath>
              <m:r>
                <m:rPr/>
                <w:rPr>
                  <w:rFonts w:ascii="Cambria Math" w:hAnsi="Cambria Math"/>
                </w:rPr>
                <m:t>i</m:t>
              </m:r>
            </m:oMath>
            <w:r>
              <w:rPr>
                <w:rFonts w:ascii="Times New Roman"/>
              </w:rPr>
              <w:t>种化石燃料的单位热值含碳量，</w:t>
            </w:r>
            <w:r>
              <w:rPr>
                <w:rFonts w:hint="eastAsia" w:ascii="Times New Roman"/>
              </w:rPr>
              <w:t>以</w:t>
            </w:r>
            <w:r>
              <w:rPr>
                <w:rFonts w:ascii="Times New Roman"/>
              </w:rPr>
              <w:t>吨碳每吉焦（tC/GJ）</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248"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szCs w:val="21"/>
                  </w:rPr>
                  <m:t>O</m:t>
                </m:r>
                <m:sSub>
                  <m:sSubPr>
                    <m:ctrlPr>
                      <w:rPr>
                        <w:rFonts w:ascii="Cambria Math" w:hAnsi="Cambria Math"/>
                        <w:i/>
                        <w:iCs/>
                        <w:szCs w:val="21"/>
                      </w:rPr>
                    </m:ctrlPr>
                  </m:sSubPr>
                  <m:e>
                    <m:r>
                      <m:rPr/>
                      <w:rPr>
                        <w:rFonts w:ascii="Cambria Math" w:hAnsi="Cambria Math"/>
                        <w:szCs w:val="21"/>
                      </w:rPr>
                      <m:t>F</m:t>
                    </m:r>
                    <m:ctrlPr>
                      <w:rPr>
                        <w:rFonts w:ascii="Cambria Math" w:hAnsi="Cambria Math"/>
                        <w:i/>
                        <w:iCs/>
                        <w:szCs w:val="21"/>
                      </w:rPr>
                    </m:ctrlPr>
                  </m:e>
                  <m:sub>
                    <m:r>
                      <m:rPr/>
                      <w:rPr>
                        <w:rFonts w:ascii="Cambria Math" w:hAnsi="Cambria Math"/>
                        <w:szCs w:val="21"/>
                      </w:rPr>
                      <m:t>i</m:t>
                    </m:r>
                    <m:ctrlPr>
                      <w:rPr>
                        <w:rFonts w:ascii="Cambria Math" w:hAnsi="Cambria Math"/>
                        <w:i/>
                        <w:iCs/>
                        <w:szCs w:val="21"/>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565" w:type="pct"/>
          </w:tcPr>
          <w:p>
            <w:pPr>
              <w:pStyle w:val="44"/>
              <w:widowControl w:val="0"/>
              <w:adjustRightInd w:val="0"/>
              <w:snapToGrid w:val="0"/>
              <w:ind w:left="-120" w:leftChars="-50" w:firstLine="0" w:firstLineChars="0"/>
              <w:rPr>
                <w:rFonts w:ascii="Times New Roman"/>
              </w:rPr>
            </w:pPr>
            <w:r>
              <w:rPr>
                <w:rFonts w:ascii="Times New Roman"/>
              </w:rPr>
              <w:t>第</w:t>
            </w:r>
            <m:oMath>
              <m:r>
                <m:rPr/>
                <w:rPr>
                  <w:rFonts w:ascii="Cambria Math" w:hAnsi="Cambria Math"/>
                </w:rPr>
                <m:t>i</m:t>
              </m:r>
            </m:oMath>
            <w:r>
              <w:rPr>
                <w:rFonts w:ascii="Times New Roman"/>
              </w:rPr>
              <w:t>种化石燃料的碳氧化率，%；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248" w:type="pct"/>
          </w:tcPr>
          <w:p>
            <w:pPr>
              <w:pStyle w:val="44"/>
              <w:widowControl w:val="0"/>
              <w:adjustRightInd w:val="0"/>
              <w:snapToGrid w:val="0"/>
              <w:ind w:firstLine="0" w:firstLineChars="0"/>
              <w:rPr>
                <w:rFonts w:ascii="Calibri" w:hAnsi="Calibri"/>
                <w:iCs/>
                <w:szCs w:val="21"/>
                <w:highlight w:val="none"/>
              </w:rPr>
            </w:pPr>
            <m:oMathPara>
              <m:oMathParaPr>
                <m:jc m:val="left"/>
              </m:oMathParaPr>
              <m:oMath>
                <m:f>
                  <m:fPr>
                    <m:ctrlPr>
                      <w:rPr>
                        <w:rFonts w:ascii="Cambria Math" w:hAnsi="Cambria Math"/>
                        <w:i/>
                        <w:iCs/>
                        <w:szCs w:val="21"/>
                        <w:highlight w:val="none"/>
                      </w:rPr>
                    </m:ctrlPr>
                  </m:fPr>
                  <m:num>
                    <m:r>
                      <m:rPr/>
                      <w:rPr>
                        <w:rFonts w:ascii="Cambria Math" w:hAnsi="Cambria Math"/>
                        <w:szCs w:val="21"/>
                        <w:highlight w:val="none"/>
                      </w:rPr>
                      <m:t>44</m:t>
                    </m:r>
                    <m:ctrlPr>
                      <w:rPr>
                        <w:rFonts w:ascii="Cambria Math" w:hAnsi="Cambria Math"/>
                        <w:i/>
                        <w:iCs/>
                        <w:szCs w:val="21"/>
                        <w:highlight w:val="none"/>
                      </w:rPr>
                    </m:ctrlPr>
                  </m:num>
                  <m:den>
                    <m:r>
                      <m:rPr/>
                      <w:rPr>
                        <w:rFonts w:ascii="Cambria Math" w:hAnsi="Cambria Math"/>
                        <w:szCs w:val="21"/>
                        <w:highlight w:val="none"/>
                      </w:rPr>
                      <m:t>12</m:t>
                    </m:r>
                    <m:ctrlPr>
                      <w:rPr>
                        <w:rFonts w:ascii="Cambria Math" w:hAnsi="Cambria Math"/>
                        <w:i/>
                        <w:iCs/>
                        <w:szCs w:val="21"/>
                        <w:highlight w:val="none"/>
                      </w:rPr>
                    </m:ctrlPr>
                  </m:den>
                </m:f>
              </m:oMath>
            </m:oMathPara>
          </w:p>
        </w:tc>
        <w:tc>
          <w:tcPr>
            <w:tcW w:w="186" w:type="pct"/>
          </w:tcPr>
          <w:p>
            <w:pPr>
              <w:pStyle w:val="44"/>
              <w:widowControl w:val="0"/>
              <w:adjustRightInd w:val="0"/>
              <w:snapToGrid w:val="0"/>
              <w:ind w:left="-120" w:leftChars="-50" w:right="-120" w:rightChars="-50" w:firstLine="0" w:firstLineChars="0"/>
              <w:jc w:val="center"/>
              <w:rPr>
                <w:rFonts w:ascii="Times New Roman"/>
                <w:highlight w:val="none"/>
              </w:rPr>
            </w:pPr>
            <w:r>
              <w:rPr>
                <w:rFonts w:ascii="Times New Roman"/>
                <w:highlight w:val="none"/>
              </w:rPr>
              <w:t>—</w:t>
            </w:r>
          </w:p>
        </w:tc>
        <w:tc>
          <w:tcPr>
            <w:tcW w:w="4565" w:type="pct"/>
          </w:tcPr>
          <w:p>
            <w:pPr>
              <w:pStyle w:val="44"/>
              <w:widowControl w:val="0"/>
              <w:adjustRightInd w:val="0"/>
              <w:snapToGrid w:val="0"/>
              <w:ind w:left="-120" w:leftChars="-50" w:firstLine="0" w:firstLineChars="0"/>
              <w:rPr>
                <w:rFonts w:ascii="Times New Roman"/>
                <w:highlight w:val="none"/>
              </w:rPr>
            </w:pPr>
            <w:r>
              <w:rPr>
                <w:rFonts w:hint="eastAsia" w:ascii="Times New Roman"/>
                <w:highlight w:val="none"/>
              </w:rPr>
              <w:t>二氧化碳与碳的相对分子质量之比。</w:t>
            </w:r>
          </w:p>
        </w:tc>
      </w:tr>
    </w:tbl>
    <w:p>
      <w:pPr>
        <w:pStyle w:val="21"/>
        <w:spacing w:before="156" w:after="156"/>
        <w:rPr>
          <w:rFonts w:hint="eastAsia" w:hAnsi="Times New Roman" w:cs="Times New Roman"/>
          <w:color w:val="auto"/>
          <w:lang w:val="en-US" w:eastAsia="zh-CN"/>
        </w:rPr>
      </w:pPr>
      <w:r>
        <w:rPr>
          <w:rFonts w:hint="eastAsia" w:hAnsi="Times New Roman" w:cs="Times New Roman"/>
          <w:color w:val="auto"/>
          <w:lang w:val="en-US" w:eastAsia="zh-CN"/>
        </w:rPr>
        <w:t>数据的监测与获取</w:t>
      </w:r>
    </w:p>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化石燃料消耗量</w:t>
      </w:r>
    </w:p>
    <w:p>
      <w:pPr>
        <w:pStyle w:val="44"/>
        <w:ind w:firstLine="420"/>
        <w:rPr>
          <w:rFonts w:ascii="Times New Roman"/>
        </w:rPr>
      </w:pPr>
      <w:r>
        <w:rPr>
          <w:rFonts w:ascii="Times New Roman"/>
        </w:rPr>
        <w:t>企业应按GB 17167</w:t>
      </w:r>
      <w:r>
        <w:rPr>
          <w:rFonts w:hint="eastAsia" w:ascii="Times New Roman"/>
        </w:rPr>
        <w:t>和</w:t>
      </w:r>
      <w:r>
        <w:rPr>
          <w:rFonts w:ascii="Times New Roman"/>
        </w:rPr>
        <w:t>GB/T 24851的要求配备化石燃料消耗量计量器具，化石燃料消耗量的计量要求见表</w:t>
      </w:r>
      <w:r>
        <w:rPr>
          <w:rFonts w:hint="eastAsia" w:ascii="Times New Roman"/>
          <w:lang w:val="en-US" w:eastAsia="zh-CN"/>
        </w:rPr>
        <w:t>1</w:t>
      </w:r>
      <w:r>
        <w:rPr>
          <w:rFonts w:ascii="Times New Roman"/>
        </w:rPr>
        <w:t>。</w:t>
      </w:r>
    </w:p>
    <w:p>
      <w:pPr>
        <w:pStyle w:val="53"/>
        <w:spacing w:before="156" w:after="156"/>
        <w:rPr>
          <w:rFonts w:ascii="Times New Roman"/>
        </w:rPr>
      </w:pPr>
      <w:r>
        <w:rPr>
          <w:rFonts w:ascii="Times New Roman"/>
        </w:rPr>
        <w:t>化石燃料消耗量计量要求</w:t>
      </w:r>
    </w:p>
    <w:tbl>
      <w:tblPr>
        <w:tblStyle w:val="11"/>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96"/>
        <w:gridCol w:w="1324"/>
        <w:gridCol w:w="2032"/>
        <w:gridCol w:w="1015"/>
        <w:gridCol w:w="1163"/>
        <w:gridCol w:w="724"/>
        <w:gridCol w:w="726"/>
        <w:gridCol w:w="15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2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燃料类型</w:t>
            </w:r>
          </w:p>
        </w:tc>
        <w:tc>
          <w:tcPr>
            <w:tcW w:w="69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计量器具</w:t>
            </w:r>
          </w:p>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hint="eastAsia" w:ascii="Times New Roman" w:hAnsi="Times New Roman" w:cs="Times New Roman"/>
                <w:b/>
                <w:bCs/>
                <w:sz w:val="18"/>
                <w:szCs w:val="18"/>
              </w:rPr>
              <w:t>名称</w:t>
            </w:r>
          </w:p>
        </w:tc>
        <w:tc>
          <w:tcPr>
            <w:tcW w:w="106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准确度等级</w:t>
            </w:r>
          </w:p>
        </w:tc>
        <w:tc>
          <w:tcPr>
            <w:tcW w:w="5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计量设备溯源方式</w:t>
            </w:r>
          </w:p>
        </w:tc>
        <w:tc>
          <w:tcPr>
            <w:tcW w:w="607"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溯源频次</w:t>
            </w:r>
          </w:p>
        </w:tc>
        <w:tc>
          <w:tcPr>
            <w:tcW w:w="378"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计量频次</w:t>
            </w:r>
          </w:p>
        </w:tc>
        <w:tc>
          <w:tcPr>
            <w:tcW w:w="379"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记录频次</w:t>
            </w:r>
          </w:p>
        </w:tc>
        <w:tc>
          <w:tcPr>
            <w:tcW w:w="8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b/>
                <w:bCs/>
                <w:sz w:val="18"/>
                <w:szCs w:val="18"/>
              </w:rPr>
            </w:pPr>
            <w:r>
              <w:rPr>
                <w:rFonts w:ascii="Times New Roman" w:hAnsi="Times New Roman" w:cs="Times New Roman"/>
                <w:b/>
                <w:bCs/>
                <w:sz w:val="18"/>
                <w:szCs w:val="18"/>
              </w:rPr>
              <w:t>安装位置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20" w:type="pct"/>
            <w:vMerge w:val="restar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固态燃料</w:t>
            </w:r>
          </w:p>
        </w:tc>
        <w:tc>
          <w:tcPr>
            <w:tcW w:w="69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非自动衡器</w:t>
            </w:r>
          </w:p>
        </w:tc>
        <w:tc>
          <w:tcPr>
            <w:tcW w:w="106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0.1</w:t>
            </w:r>
          </w:p>
        </w:tc>
        <w:tc>
          <w:tcPr>
            <w:tcW w:w="5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w:t>
            </w:r>
          </w:p>
        </w:tc>
        <w:tc>
          <w:tcPr>
            <w:tcW w:w="607"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每批</w:t>
            </w:r>
          </w:p>
        </w:tc>
        <w:tc>
          <w:tcPr>
            <w:tcW w:w="379"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每批</w:t>
            </w:r>
          </w:p>
        </w:tc>
        <w:tc>
          <w:tcPr>
            <w:tcW w:w="8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20" w:type="pct"/>
            <w:vMerge w:val="continue"/>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p>
        </w:tc>
        <w:tc>
          <w:tcPr>
            <w:tcW w:w="69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连续累计自动衡器</w:t>
            </w:r>
          </w:p>
        </w:tc>
        <w:tc>
          <w:tcPr>
            <w:tcW w:w="106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0.5</w:t>
            </w:r>
          </w:p>
        </w:tc>
        <w:tc>
          <w:tcPr>
            <w:tcW w:w="5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w:t>
            </w:r>
          </w:p>
        </w:tc>
        <w:tc>
          <w:tcPr>
            <w:tcW w:w="607"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w:t>
            </w:r>
          </w:p>
        </w:tc>
        <w:tc>
          <w:tcPr>
            <w:tcW w:w="379"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每月</w:t>
            </w:r>
          </w:p>
        </w:tc>
        <w:tc>
          <w:tcPr>
            <w:tcW w:w="8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安装在进燃烧设备燃烧前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2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液态燃料</w:t>
            </w:r>
          </w:p>
        </w:tc>
        <w:tc>
          <w:tcPr>
            <w:tcW w:w="69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油</w:t>
            </w:r>
            <w:r>
              <w:rPr>
                <w:rFonts w:ascii="Times New Roman" w:hAnsi="Times New Roman" w:cs="Times New Roman"/>
                <w:sz w:val="18"/>
                <w:szCs w:val="18"/>
              </w:rPr>
              <w:t>流量</w:t>
            </w:r>
            <w:r>
              <w:rPr>
                <w:rFonts w:hint="eastAsia" w:ascii="Times New Roman" w:hAnsi="Times New Roman" w:cs="Times New Roman"/>
                <w:sz w:val="18"/>
                <w:szCs w:val="18"/>
              </w:rPr>
              <w:t>表</w:t>
            </w:r>
          </w:p>
        </w:tc>
        <w:tc>
          <w:tcPr>
            <w:tcW w:w="106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成品油：0.3</w:t>
            </w:r>
          </w:p>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重油、渣油：0.5</w:t>
            </w:r>
          </w:p>
        </w:tc>
        <w:tc>
          <w:tcPr>
            <w:tcW w:w="5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检定/校准</w:t>
            </w:r>
          </w:p>
        </w:tc>
        <w:tc>
          <w:tcPr>
            <w:tcW w:w="607"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w:t>
            </w:r>
          </w:p>
        </w:tc>
        <w:tc>
          <w:tcPr>
            <w:tcW w:w="379"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每月</w:t>
            </w:r>
          </w:p>
        </w:tc>
        <w:tc>
          <w:tcPr>
            <w:tcW w:w="8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安装在储油罐与燃烧设备之间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 w:hRule="atLeast"/>
          <w:jc w:val="center"/>
        </w:trPr>
        <w:tc>
          <w:tcPr>
            <w:tcW w:w="52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气态燃料</w:t>
            </w:r>
          </w:p>
        </w:tc>
        <w:tc>
          <w:tcPr>
            <w:tcW w:w="69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气体流量</w:t>
            </w:r>
            <w:r>
              <w:rPr>
                <w:rFonts w:hint="eastAsia" w:ascii="Times New Roman" w:hAnsi="Times New Roman" w:cs="Times New Roman"/>
                <w:sz w:val="18"/>
                <w:szCs w:val="18"/>
              </w:rPr>
              <w:t>表</w:t>
            </w:r>
          </w:p>
        </w:tc>
        <w:tc>
          <w:tcPr>
            <w:tcW w:w="1061"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天然气、煤气：2.0</w:t>
            </w:r>
          </w:p>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hint="eastAsia" w:ascii="Times New Roman" w:hAnsi="Times New Roman" w:cs="Times New Roman"/>
                <w:sz w:val="18"/>
                <w:szCs w:val="18"/>
              </w:rPr>
              <w:t>氢气、氮气、压缩空气：</w:t>
            </w:r>
            <w:r>
              <w:rPr>
                <w:rFonts w:ascii="Times New Roman" w:hAnsi="Times New Roman" w:cs="Times New Roman"/>
                <w:sz w:val="18"/>
                <w:szCs w:val="18"/>
              </w:rPr>
              <w:t>1</w:t>
            </w:r>
            <w:r>
              <w:rPr>
                <w:rFonts w:hint="eastAsia" w:ascii="Times New Roman" w:hAnsi="Times New Roman" w:cs="Times New Roman"/>
                <w:sz w:val="18"/>
                <w:szCs w:val="18"/>
              </w:rPr>
              <w:t>.5</w:t>
            </w:r>
          </w:p>
        </w:tc>
        <w:tc>
          <w:tcPr>
            <w:tcW w:w="5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检定/校准</w:t>
            </w:r>
          </w:p>
        </w:tc>
        <w:tc>
          <w:tcPr>
            <w:tcW w:w="607"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1次/12个月</w:t>
            </w:r>
          </w:p>
        </w:tc>
        <w:tc>
          <w:tcPr>
            <w:tcW w:w="378"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连续</w:t>
            </w:r>
          </w:p>
        </w:tc>
        <w:tc>
          <w:tcPr>
            <w:tcW w:w="379"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每月</w:t>
            </w:r>
          </w:p>
        </w:tc>
        <w:tc>
          <w:tcPr>
            <w:tcW w:w="830" w:type="pct"/>
            <w:vAlign w:val="center"/>
          </w:tcPr>
          <w:p>
            <w:pPr>
              <w:pStyle w:val="54"/>
              <w:keepNext w:val="0"/>
              <w:keepLines w:val="0"/>
              <w:pageBreakBefore w:val="0"/>
              <w:widowControl w:val="0"/>
              <w:kinsoku/>
              <w:wordWrap/>
              <w:overflowPunct/>
              <w:topLinePunct w:val="0"/>
              <w:autoSpaceDE w:val="0"/>
              <w:autoSpaceDN w:val="0"/>
              <w:bidi w:val="0"/>
              <w:adjustRightInd w:val="0"/>
              <w:snapToGrid/>
              <w:ind w:right="0" w:rightChars="0"/>
              <w:jc w:val="center"/>
              <w:textAlignment w:val="auto"/>
              <w:rPr>
                <w:rFonts w:ascii="Times New Roman" w:hAnsi="Times New Roman" w:cs="Times New Roman"/>
                <w:sz w:val="18"/>
                <w:szCs w:val="18"/>
              </w:rPr>
            </w:pPr>
            <w:r>
              <w:rPr>
                <w:rFonts w:ascii="Times New Roman" w:hAnsi="Times New Roman" w:cs="Times New Roman"/>
                <w:sz w:val="18"/>
                <w:szCs w:val="18"/>
              </w:rPr>
              <w:t>安装于储气罐与燃烧设备之间</w:t>
            </w:r>
          </w:p>
        </w:tc>
      </w:tr>
    </w:tbl>
    <w:p>
      <w:pPr>
        <w:pStyle w:val="18"/>
        <w:tabs>
          <w:tab w:val="center" w:pos="4201"/>
          <w:tab w:val="right" w:leader="dot" w:pos="9298"/>
        </w:tabs>
        <w:spacing w:line="360" w:lineRule="exact"/>
        <w:rPr>
          <w:rFonts w:hint="default" w:ascii="Times New Roman" w:hAnsi="Times New Roman" w:cs="Times New Roman"/>
        </w:rPr>
      </w:pPr>
      <w:bookmarkStart w:id="11" w:name="_Toc128508361"/>
      <w:bookmarkStart w:id="12" w:name="_Toc128676557"/>
      <w:bookmarkStart w:id="13" w:name="_Toc128585850"/>
      <w:bookmarkStart w:id="14" w:name="_Toc128508293"/>
      <w:bookmarkStart w:id="15" w:name="_Toc128508445"/>
      <w:r>
        <w:rPr>
          <w:rFonts w:hint="default" w:ascii="Times New Roman" w:hAnsi="Times New Roman" w:cs="Times New Roman"/>
        </w:rPr>
        <w:t>各种化石燃料</w:t>
      </w:r>
      <w:r>
        <w:rPr>
          <w:rFonts w:hint="eastAsia" w:ascii="Times New Roman" w:cs="Times New Roman"/>
          <w:lang w:val="en-US" w:eastAsia="zh-CN"/>
        </w:rPr>
        <w:t>消耗量取</w:t>
      </w:r>
      <w:r>
        <w:rPr>
          <w:rFonts w:hint="default" w:ascii="Times New Roman" w:hAnsi="Times New Roman" w:cs="Times New Roman"/>
          <w:lang w:val="en-US" w:eastAsia="zh-CN"/>
        </w:rPr>
        <w:t>电子汽车衡、</w:t>
      </w:r>
      <w:r>
        <w:rPr>
          <w:rFonts w:hint="eastAsia" w:ascii="Times New Roman" w:cs="Times New Roman"/>
          <w:lang w:val="en-US" w:eastAsia="zh-CN"/>
        </w:rPr>
        <w:t>轨道衡、</w:t>
      </w:r>
      <w:r>
        <w:rPr>
          <w:rFonts w:hint="default" w:ascii="Times New Roman" w:hAnsi="Times New Roman" w:cs="Times New Roman"/>
          <w:lang w:val="en-US" w:eastAsia="zh-CN"/>
        </w:rPr>
        <w:t>流量表等</w:t>
      </w:r>
      <w:r>
        <w:rPr>
          <w:rFonts w:hint="default" w:ascii="Times New Roman" w:hAnsi="Times New Roman" w:cs="Times New Roman"/>
        </w:rPr>
        <w:t>计量数据</w:t>
      </w:r>
      <w:r>
        <w:rPr>
          <w:rFonts w:hint="eastAsia" w:ascii="Times New Roman" w:cs="Times New Roman"/>
          <w:lang w:eastAsia="zh-CN"/>
        </w:rPr>
        <w:t>，</w:t>
      </w:r>
      <w:r>
        <w:rPr>
          <w:rFonts w:hint="eastAsia" w:ascii="Times New Roman" w:cs="Times New Roman"/>
          <w:lang w:val="en-US" w:eastAsia="zh-CN"/>
        </w:rPr>
        <w:t>可通过化石燃料购入量台账、发票、结算单、国家税务系统燃料购入数据、过磅单和进厂称重记录等证明材料校核</w:t>
      </w:r>
      <w:r>
        <w:rPr>
          <w:rFonts w:hint="default" w:ascii="Times New Roman" w:hAnsi="Times New Roman" w:cs="Times New Roman"/>
        </w:rPr>
        <w:t>。</w:t>
      </w:r>
    </w:p>
    <w:p>
      <w:pPr>
        <w:pStyle w:val="18"/>
        <w:tabs>
          <w:tab w:val="center" w:pos="4201"/>
          <w:tab w:val="right" w:leader="dot" w:pos="9298"/>
        </w:tabs>
        <w:spacing w:line="360" w:lineRule="exact"/>
        <w:rPr>
          <w:rFonts w:ascii="Times New Roman"/>
        </w:rPr>
      </w:pPr>
      <w:r>
        <w:rPr>
          <w:rFonts w:hint="eastAsia" w:ascii="Times New Roman" w:cs="Times New Roman"/>
          <w:lang w:val="en-US" w:eastAsia="zh-CN"/>
        </w:rPr>
        <w:t>企业应使用依法经计量检定合格或者校准的</w:t>
      </w:r>
      <w:r>
        <w:rPr>
          <w:rFonts w:hint="default" w:ascii="Times New Roman" w:hAnsi="Times New Roman" w:cs="Times New Roman"/>
        </w:rPr>
        <w:t>电子汽车衡、</w:t>
      </w:r>
      <w:r>
        <w:rPr>
          <w:rFonts w:hint="eastAsia" w:ascii="Times New Roman" w:cs="Times New Roman"/>
          <w:lang w:val="en-US" w:eastAsia="zh-CN"/>
        </w:rPr>
        <w:t>轨道衡、</w:t>
      </w:r>
      <w:r>
        <w:rPr>
          <w:rFonts w:hint="default" w:ascii="Times New Roman" w:hAnsi="Times New Roman" w:cs="Times New Roman"/>
          <w:lang w:val="en-US" w:eastAsia="zh-CN"/>
        </w:rPr>
        <w:t>流量表</w:t>
      </w:r>
      <w:r>
        <w:rPr>
          <w:rFonts w:hint="default" w:ascii="Times New Roman" w:hAnsi="Times New Roman" w:cs="Times New Roman"/>
        </w:rPr>
        <w:t>等计量器具</w:t>
      </w:r>
      <w:r>
        <w:rPr>
          <w:rFonts w:hint="eastAsia" w:ascii="Times New Roman" w:cs="Times New Roman"/>
          <w:lang w:eastAsia="zh-CN"/>
        </w:rPr>
        <w:t>，</w:t>
      </w:r>
      <w:r>
        <w:rPr>
          <w:rFonts w:hint="eastAsia" w:ascii="Times New Roman" w:cs="Times New Roman"/>
          <w:lang w:val="en-US" w:eastAsia="zh-CN"/>
        </w:rPr>
        <w:t>计量器具的配备和管理</w:t>
      </w:r>
      <w:r>
        <w:rPr>
          <w:rFonts w:hint="default" w:ascii="Times New Roman" w:hAnsi="Times New Roman" w:cs="Times New Roman"/>
        </w:rPr>
        <w:t>应符合GB</w:t>
      </w:r>
      <w:r>
        <w:rPr>
          <w:rFonts w:hint="eastAsia" w:ascii="Times New Roman" w:cs="Times New Roman"/>
          <w:lang w:val="en-US" w:eastAsia="zh-CN"/>
        </w:rPr>
        <w:t xml:space="preserve"> 17167等标准的要求</w:t>
      </w:r>
      <w:r>
        <w:rPr>
          <w:rFonts w:hint="default" w:ascii="Times New Roman" w:hAnsi="Times New Roman" w:cs="Times New Roman"/>
        </w:rPr>
        <w:t>。计量器具应确保在有效的检定/校准周期内，并符合JJG 1118等规程的要求。</w:t>
      </w:r>
    </w:p>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低位发热量</w:t>
      </w:r>
    </w:p>
    <w:p>
      <w:pPr>
        <w:pStyle w:val="44"/>
        <w:ind w:firstLine="420"/>
        <w:rPr>
          <w:rFonts w:ascii="Times New Roman"/>
        </w:rPr>
      </w:pPr>
      <w:r>
        <w:rPr>
          <w:rFonts w:ascii="Times New Roman"/>
        </w:rPr>
        <w:t>具备条件的企业宜开展实测，或委托专业机构进行检测，</w:t>
      </w:r>
      <w:r>
        <w:rPr>
          <w:rFonts w:hint="eastAsia" w:ascii="Times New Roman"/>
          <w:lang w:val="en-US" w:eastAsia="zh-CN"/>
        </w:rPr>
        <w:t>并</w:t>
      </w:r>
      <w:r>
        <w:rPr>
          <w:rFonts w:ascii="Times New Roman"/>
        </w:rPr>
        <w:t>遵循GB/T 213、GB/T 384、GB/T 11062等相关规定准</w:t>
      </w:r>
      <w:r>
        <w:rPr>
          <w:rFonts w:hint="eastAsia" w:ascii="Times New Roman"/>
          <w:lang w:eastAsia="zh-CN"/>
        </w:rPr>
        <w:t>，</w:t>
      </w:r>
      <w:r>
        <w:rPr>
          <w:rFonts w:ascii="Times New Roman"/>
        </w:rPr>
        <w:t>可采用与相关方结算凭证中提供的实测值</w:t>
      </w:r>
      <w:r>
        <w:rPr>
          <w:rFonts w:hint="eastAsia" w:ascii="Times New Roman"/>
          <w:lang w:val="en-US" w:eastAsia="zh-CN"/>
        </w:rPr>
        <w:t>进行校核</w:t>
      </w:r>
      <w:r>
        <w:rPr>
          <w:rFonts w:ascii="Times New Roman"/>
        </w:rPr>
        <w:t>。</w:t>
      </w:r>
    </w:p>
    <w:p>
      <w:pPr>
        <w:pStyle w:val="44"/>
        <w:ind w:firstLine="420"/>
        <w:rPr>
          <w:rFonts w:ascii="Times New Roman"/>
        </w:rPr>
      </w:pPr>
      <w:r>
        <w:rPr>
          <w:rFonts w:ascii="Times New Roman"/>
        </w:rPr>
        <w:t>不具备</w:t>
      </w:r>
      <w:r>
        <w:rPr>
          <w:rFonts w:hint="eastAsia" w:ascii="Times New Roman"/>
          <w:lang w:val="en-US" w:eastAsia="zh-CN"/>
        </w:rPr>
        <w:t>实测及委托检测的</w:t>
      </w:r>
      <w:r>
        <w:rPr>
          <w:rFonts w:ascii="Times New Roman"/>
        </w:rPr>
        <w:t>企业</w:t>
      </w:r>
      <w:r>
        <w:rPr>
          <w:rFonts w:hint="eastAsia" w:ascii="Times New Roman"/>
          <w:lang w:eastAsia="zh-CN"/>
        </w:rPr>
        <w:t>，</w:t>
      </w:r>
      <w:r>
        <w:rPr>
          <w:rFonts w:ascii="Times New Roman"/>
        </w:rPr>
        <w:t>可采用</w:t>
      </w:r>
      <w:r>
        <w:rPr>
          <w:rFonts w:hint="eastAsia" w:ascii="Times New Roman"/>
          <w:lang w:val="en-US" w:eastAsia="zh-CN"/>
        </w:rPr>
        <w:t>表B.1中</w:t>
      </w:r>
      <w:r>
        <w:rPr>
          <w:rFonts w:ascii="Times New Roman"/>
        </w:rPr>
        <w:t>的化石燃料平均低位发热量缺省值。</w:t>
      </w:r>
    </w:p>
    <w:bookmarkEnd w:id="11"/>
    <w:bookmarkEnd w:id="12"/>
    <w:bookmarkEnd w:id="13"/>
    <w:bookmarkEnd w:id="14"/>
    <w:bookmarkEnd w:id="15"/>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单位热值含碳量和碳氧化率</w:t>
      </w:r>
    </w:p>
    <w:p>
      <w:pPr>
        <w:pStyle w:val="44"/>
        <w:ind w:firstLine="420"/>
        <w:rPr>
          <w:rFonts w:ascii="Times New Roman"/>
        </w:rPr>
      </w:pPr>
      <w:r>
        <w:rPr>
          <w:rFonts w:ascii="Times New Roman"/>
        </w:rPr>
        <w:t>企业可采用表B.1中的单位热值含碳量和碳氧化率缺省值。</w:t>
      </w:r>
      <w:r>
        <w:rPr>
          <w:rFonts w:hint="eastAsia"/>
        </w:rPr>
        <w:t>生态环境部有更新的，采用其最新发布的数值。</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16" w:name="_Toc21476"/>
      <w:bookmarkStart w:id="17" w:name="_Toc128508302"/>
      <w:bookmarkStart w:id="18" w:name="_Toc128585859"/>
      <w:bookmarkStart w:id="19" w:name="_Toc128508454"/>
      <w:bookmarkStart w:id="20" w:name="_Toc128508370"/>
      <w:r>
        <w:rPr>
          <w:rFonts w:hint="eastAsia" w:ascii="黑体" w:eastAsia="黑体"/>
          <w:kern w:val="0"/>
          <w:sz w:val="21"/>
          <w:szCs w:val="21"/>
          <w:lang w:val="en-US" w:eastAsia="zh-CN"/>
        </w:rPr>
        <w:t>净购入使用电力产生的排放</w:t>
      </w:r>
      <w:bookmarkEnd w:id="16"/>
      <w:bookmarkEnd w:id="17"/>
      <w:bookmarkEnd w:id="18"/>
      <w:bookmarkEnd w:id="19"/>
      <w:bookmarkEnd w:id="20"/>
    </w:p>
    <w:p>
      <w:pPr>
        <w:pStyle w:val="21"/>
        <w:spacing w:before="156" w:after="156"/>
        <w:rPr>
          <w:rFonts w:hint="eastAsia" w:hAnsi="Times New Roman" w:cs="Times New Roman"/>
          <w:color w:val="auto"/>
          <w:lang w:val="en-US" w:eastAsia="zh-CN"/>
        </w:rPr>
      </w:pPr>
      <w:r>
        <w:rPr>
          <w:rFonts w:hint="eastAsia" w:hAnsi="Times New Roman" w:cs="Times New Roman"/>
          <w:color w:val="auto"/>
          <w:lang w:val="en-US" w:eastAsia="zh-CN"/>
        </w:rPr>
        <w:t>计算公式</w:t>
      </w:r>
    </w:p>
    <w:p>
      <w:pPr>
        <w:pStyle w:val="44"/>
        <w:ind w:firstLine="420"/>
        <w:rPr>
          <w:rFonts w:ascii="Times New Roman"/>
        </w:rPr>
      </w:pPr>
      <w:r>
        <w:rPr>
          <w:rFonts w:ascii="Times New Roman"/>
        </w:rPr>
        <w:t>企业</w:t>
      </w:r>
      <w:r>
        <w:rPr>
          <w:rFonts w:hint="eastAsia" w:ascii="Times New Roman"/>
        </w:rPr>
        <w:t>净购入使用电力产生的</w:t>
      </w:r>
      <w:r>
        <w:rPr>
          <w:rFonts w:ascii="Times New Roman"/>
        </w:rPr>
        <w:t>二氧化碳排放量按</w:t>
      </w:r>
      <w:r>
        <w:rPr>
          <w:rFonts w:hint="eastAsia" w:ascii="Times New Roman"/>
          <w:lang w:eastAsia="zh-CN"/>
        </w:rPr>
        <w:t>公式（</w:t>
      </w:r>
      <w:r>
        <w:rPr>
          <w:rFonts w:hint="eastAsia" w:ascii="Times New Roman"/>
          <w:lang w:val="en-US" w:eastAsia="zh-CN"/>
        </w:rPr>
        <w:t>4</w:t>
      </w:r>
      <w:r>
        <w:rPr>
          <w:rFonts w:ascii="Times New Roman"/>
        </w:rPr>
        <w:t>）计算</w:t>
      </w:r>
      <w:r>
        <w:rPr>
          <w:rFonts w:hint="eastAsia" w:ascii="Times New Roman"/>
        </w:rPr>
        <w:t>：</w:t>
      </w:r>
    </w:p>
    <w:p>
      <w:pPr>
        <w:pStyle w:val="50"/>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电</m:t>
            </m:r>
            <m:ctrlPr>
              <w:rPr>
                <w:rFonts w:ascii="Cambria Math" w:hAnsi="Cambria Math"/>
                <w:i/>
              </w:rPr>
            </m:ctrlPr>
          </m:sub>
        </m:sSub>
        <m:r>
          <m:rPr/>
          <w:rPr>
            <w:rFonts w:ascii="Cambria Math" w:hAnsi="Cambria Math"/>
          </w:rPr>
          <m:t>=</m:t>
        </m:r>
        <m:d>
          <m:dPr>
            <m:ctrlPr>
              <w:rPr>
                <w:rFonts w:ascii="Cambria Math" w:hAnsi="Cambria Math"/>
                <w:i/>
                <w:iCs/>
              </w:rPr>
            </m:ctrlPr>
          </m:dPr>
          <m:e>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hint="eastAsia" w:ascii="Cambria Math" w:hAnsi="Cambria Math" w:cs="宋体"/>
                  </w:rPr>
                  <m:t>购入电</m:t>
                </m:r>
                <m:ctrlPr>
                  <w:rPr>
                    <w:rFonts w:ascii="Cambria Math" w:hAnsi="Cambria Math"/>
                    <w:i/>
                    <w:iCs/>
                  </w:rPr>
                </m:ctrlPr>
              </m:sub>
            </m:sSub>
            <m:r>
              <m:rPr/>
              <w:rPr>
                <w:rFonts w:ascii="Cambria Math" w:hAnsi="Cambria Math"/>
              </w:rPr>
              <m:t>−A</m:t>
            </m:r>
            <m:sSub>
              <m:sSubPr>
                <m:ctrlPr>
                  <w:rPr>
                    <w:rFonts w:hint="eastAsia" w:ascii="Cambria Math" w:hAnsi="Cambria Math"/>
                    <w:i/>
                    <w:iCs/>
                  </w:rPr>
                </m:ctrlPr>
              </m:sSubPr>
              <m:e>
                <m:r>
                  <m:rPr/>
                  <w:rPr>
                    <w:rFonts w:ascii="Cambria Math" w:hAnsi="Cambria Math"/>
                  </w:rPr>
                  <m:t>D</m:t>
                </m:r>
                <m:ctrlPr>
                  <w:rPr>
                    <w:rFonts w:hint="eastAsia" w:ascii="Cambria Math" w:hAnsi="Cambria Math"/>
                    <w:i/>
                    <w:iCs/>
                  </w:rPr>
                </m:ctrlPr>
              </m:e>
              <m:sub>
                <m:r>
                  <m:rPr/>
                  <w:rPr>
                    <w:rFonts w:hint="eastAsia" w:ascii="Cambria Math" w:hAnsi="Cambria Math"/>
                  </w:rPr>
                  <m:t>购入电网非化石电</m:t>
                </m:r>
                <m:ctrlPr>
                  <w:rPr>
                    <w:rFonts w:hint="eastAsia" w:ascii="Cambria Math" w:hAnsi="Cambria Math"/>
                    <w:i/>
                    <w:iCs/>
                  </w:rPr>
                </m:ctrlPr>
              </m:sub>
            </m:sSub>
            <m:ctrlPr>
              <w:rPr>
                <w:rFonts w:ascii="Cambria Math" w:hAnsi="Cambria Math"/>
                <w:i/>
                <w:iCs/>
              </w:rPr>
            </m:ctrlPr>
          </m:e>
        </m:d>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电</m:t>
            </m:r>
            <m:ctrlPr>
              <w:rPr>
                <w:rFonts w:ascii="Cambria Math" w:hAnsi="Cambria Math"/>
                <w:i/>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4</w:t>
      </w:r>
      <w:r>
        <w:rPr>
          <w:rFonts w:hint="eastAsia" w:ascii="Times New Roman" w:hAnsi="Times New Roman"/>
        </w:rPr>
        <w:t>）</w:t>
      </w:r>
    </w:p>
    <w:p>
      <w:pPr>
        <w:pStyle w:val="51"/>
        <w:ind w:firstLine="420"/>
        <w:rPr>
          <w:rFonts w:ascii="Times New Roman" w:hAnsi="Times New Roman"/>
        </w:rPr>
      </w:pPr>
      <w:r>
        <w:rPr>
          <w:rFonts w:ascii="Times New Roman" w:hAnsi="Times New Roman"/>
        </w:rPr>
        <w:t>式中：</w:t>
      </w:r>
    </w:p>
    <w:tbl>
      <w:tblPr>
        <w:tblStyle w:val="12"/>
        <w:tblW w:w="4999"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23"/>
        <w:gridCol w:w="356"/>
        <w:gridCol w:w="74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0" w:type="pct"/>
            <w:vAlign w:val="top"/>
          </w:tcPr>
          <w:p>
            <w:pPr>
              <w:pStyle w:val="44"/>
              <w:widowControl w:val="0"/>
              <w:adjustRightInd w:val="0"/>
              <w:snapToGrid w:val="0"/>
              <w:ind w:firstLine="0" w:firstLineChars="0"/>
              <w:rPr>
                <w:rFonts w:hint="eastAsia" w:ascii="Cambria Math" w:hAnsi="Cambria Math"/>
                <w:i/>
                <w:oMath/>
              </w:rPr>
            </w:pPr>
            <m:oMathPara>
              <m:oMathParaPr>
                <m:jc m:val="left"/>
              </m:oMathParaP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ascii="Cambria Math" w:hAnsi="Cambria Math"/>
                      </w:rPr>
                      <m:t>电</m:t>
                    </m:r>
                    <m:ctrlPr>
                      <w:rPr>
                        <w:rFonts w:ascii="Cambria Math" w:hAnsi="Cambria Math"/>
                        <w:i/>
                        <w:iCs/>
                      </w:rPr>
                    </m:ctrlPr>
                  </m:sub>
                </m:sSub>
              </m:oMath>
            </m:oMathPara>
          </w:p>
        </w:tc>
        <w:tc>
          <w:tcPr>
            <w:tcW w:w="186" w:type="pct"/>
            <w:vAlign w:val="top"/>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3913" w:type="pct"/>
            <w:vAlign w:val="top"/>
          </w:tcPr>
          <w:p>
            <w:pPr>
              <w:pStyle w:val="44"/>
              <w:widowControl w:val="0"/>
              <w:adjustRightInd w:val="0"/>
              <w:snapToGrid w:val="0"/>
              <w:ind w:left="-120" w:leftChars="-50" w:firstLine="0" w:firstLineChars="0"/>
              <w:rPr>
                <w:rFonts w:ascii="Times New Roman"/>
              </w:rPr>
            </w:pPr>
            <w:r>
              <w:rPr>
                <w:rFonts w:hint="eastAsia" w:ascii="Times New Roman"/>
              </w:rPr>
              <w:t>企业净</w:t>
            </w:r>
            <w:r>
              <w:rPr>
                <w:rFonts w:ascii="Times New Roman"/>
              </w:rPr>
              <w:t>购入电力产生的二氧化碳排放量，</w:t>
            </w:r>
            <w:r>
              <w:rPr>
                <w:rFonts w:hint="eastAsia" w:ascii="Times New Roman"/>
              </w:rPr>
              <w:t>以</w:t>
            </w:r>
            <w:r>
              <w:rPr>
                <w:rFonts w:ascii="Times New Roman"/>
              </w:rPr>
              <w:t>吨二氧化碳（tCO</w:t>
            </w:r>
            <w:r>
              <w:rPr>
                <w:rFonts w:ascii="Times New Roman"/>
                <w:vertAlign w:val="subscript"/>
              </w:rPr>
              <w:t>2</w:t>
            </w:r>
            <w:r>
              <w:rPr>
                <w:rFonts w:ascii="Times New Roman"/>
              </w:rPr>
              <w:t>）</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0" w:type="pct"/>
            <w:vAlign w:val="top"/>
          </w:tcPr>
          <w:p>
            <w:pPr>
              <w:pStyle w:val="44"/>
              <w:widowControl w:val="0"/>
              <w:adjustRightInd w:val="0"/>
              <w:snapToGrid w:val="0"/>
              <w:ind w:firstLine="0" w:firstLineChars="0"/>
              <w:rPr>
                <w:rFonts w:ascii="Times New Roman"/>
                <w:i/>
                <w:iCs/>
              </w:rPr>
            </w:pPr>
            <m:oMathPara>
              <m:oMathParaPr>
                <m:jc m:val="left"/>
              </m:oMathParaPr>
              <m:oMath>
                <m:r>
                  <m:rPr/>
                  <w:rPr>
                    <w:rFonts w:ascii="Cambria Math" w:hAnsi="Cambria Math"/>
                  </w:rPr>
                  <m:t>A</m:t>
                </m:r>
                <m:sSub>
                  <m:sSubPr>
                    <m:ctrlPr>
                      <w:rPr>
                        <w:rFonts w:ascii="Cambria Math" w:hAnsi="Cambria Math"/>
                        <w:i/>
                        <w:iCs/>
                        <w:szCs w:val="21"/>
                      </w:rPr>
                    </m:ctrlPr>
                  </m:sSubPr>
                  <m:e>
                    <m:r>
                      <m:rPr/>
                      <w:rPr>
                        <w:rFonts w:ascii="Cambria Math" w:hAnsi="Cambria Math"/>
                      </w:rPr>
                      <m:t>D</m:t>
                    </m:r>
                    <m:ctrlPr>
                      <w:rPr>
                        <w:rFonts w:ascii="Cambria Math" w:hAnsi="Cambria Math"/>
                        <w:i/>
                        <w:iCs/>
                        <w:szCs w:val="21"/>
                      </w:rPr>
                    </m:ctrlPr>
                  </m:e>
                  <m:sub>
                    <m:r>
                      <m:rPr/>
                      <w:rPr>
                        <w:rFonts w:ascii="Cambria Math" w:hAnsi="Cambria Math"/>
                      </w:rPr>
                      <m:t>购入电</m:t>
                    </m:r>
                    <m:ctrlPr>
                      <w:rPr>
                        <w:rFonts w:ascii="Cambria Math" w:hAnsi="Cambria Math"/>
                        <w:i/>
                        <w:iCs/>
                        <w:szCs w:val="21"/>
                      </w:rPr>
                    </m:ctrlPr>
                  </m:sub>
                </m:sSub>
              </m:oMath>
            </m:oMathPara>
          </w:p>
        </w:tc>
        <w:tc>
          <w:tcPr>
            <w:tcW w:w="186" w:type="pct"/>
            <w:vAlign w:val="top"/>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3913" w:type="pct"/>
            <w:vAlign w:val="top"/>
          </w:tcPr>
          <w:p>
            <w:pPr>
              <w:pStyle w:val="44"/>
              <w:widowControl w:val="0"/>
              <w:adjustRightInd w:val="0"/>
              <w:snapToGrid w:val="0"/>
              <w:ind w:left="-120" w:leftChars="-50" w:firstLine="0" w:firstLineChars="0"/>
              <w:rPr>
                <w:rFonts w:ascii="Times New Roman"/>
              </w:rPr>
            </w:pPr>
            <w:r>
              <w:rPr>
                <w:rFonts w:ascii="Times New Roman"/>
              </w:rPr>
              <w:t>核算和报告期内购入的总电量，包括购入的电网电量和购入的未并入市政电网的化石能源电量和非化石能源电量，以兆瓦时（MWh）计；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0" w:type="pct"/>
            <w:vAlign w:val="top"/>
          </w:tcPr>
          <w:p>
            <w:pPr>
              <w:pStyle w:val="44"/>
              <w:widowControl w:val="0"/>
              <w:adjustRightInd w:val="0"/>
              <w:snapToGrid w:val="0"/>
              <w:ind w:firstLine="0" w:firstLineChars="0"/>
              <w:rPr>
                <w:rFonts w:ascii="Cambria Math" w:hAnsi="Cambria Math" w:eastAsia="方正仿宋_GB2312"/>
                <w:i/>
                <w:oMath/>
              </w:rPr>
            </w:pPr>
            <m:oMathPara>
              <m:oMathParaPr>
                <m:jc m:val="left"/>
              </m:oMathParaPr>
              <m:oMath>
                <m:r>
                  <m:rPr/>
                  <w:rPr>
                    <w:rFonts w:ascii="Cambria Math" w:hAnsi="Cambria Math"/>
                  </w:rPr>
                  <m:t>A</m:t>
                </m:r>
                <m:sSub>
                  <m:sSubPr>
                    <m:ctrlPr>
                      <w:rPr>
                        <w:rFonts w:ascii="Cambria Math" w:hAnsi="Cambria Math"/>
                        <w:i/>
                        <w:iCs/>
                      </w:rPr>
                    </m:ctrlPr>
                  </m:sSubPr>
                  <m:e>
                    <m:r>
                      <m:rPr/>
                      <w:rPr>
                        <w:rFonts w:ascii="Cambria Math" w:hAnsi="Cambria Math"/>
                      </w:rPr>
                      <m:t>D</m:t>
                    </m:r>
                    <m:ctrlPr>
                      <w:rPr>
                        <w:rFonts w:ascii="Cambria Math" w:hAnsi="Cambria Math"/>
                        <w:i/>
                        <w:iCs/>
                      </w:rPr>
                    </m:ctrlPr>
                  </m:e>
                  <m:sub>
                    <m:r>
                      <m:rPr/>
                      <w:rPr>
                        <w:rFonts w:ascii="Cambria Math" w:hAnsi="Cambria Math"/>
                      </w:rPr>
                      <m:t>购入电网非化石电</m:t>
                    </m:r>
                    <m:ctrlPr>
                      <w:rPr>
                        <w:rFonts w:ascii="Cambria Math" w:hAnsi="Cambria Math"/>
                        <w:i/>
                        <w:iCs/>
                      </w:rPr>
                    </m:ctrlPr>
                  </m:sub>
                </m:sSub>
              </m:oMath>
            </m:oMathPara>
          </w:p>
        </w:tc>
        <w:tc>
          <w:tcPr>
            <w:tcW w:w="186" w:type="pct"/>
            <w:vAlign w:val="top"/>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3913" w:type="pct"/>
            <w:vAlign w:val="top"/>
          </w:tcPr>
          <w:p>
            <w:pPr>
              <w:pStyle w:val="44"/>
              <w:widowControl w:val="0"/>
              <w:adjustRightInd w:val="0"/>
              <w:snapToGrid w:val="0"/>
              <w:ind w:left="-120" w:leftChars="-50" w:firstLine="0" w:firstLineChars="0"/>
              <w:rPr>
                <w:rFonts w:ascii="Times New Roman"/>
              </w:rPr>
            </w:pPr>
            <w:r>
              <w:rPr>
                <w:rFonts w:ascii="Times New Roman"/>
              </w:rPr>
              <w:t>核算和报告期内通过市场化交易购入使用的非化石能源电力消费量，</w:t>
            </w:r>
            <w:r>
              <w:rPr>
                <w:rFonts w:ascii="Times New Roman"/>
                <w:szCs w:val="21"/>
              </w:rPr>
              <w:t>以兆瓦时（MW∙h）计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900"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eastAsia="方正仿宋_GB2312"/>
                  </w:rPr>
                  <m:t>E</m:t>
                </m:r>
                <m:sSub>
                  <m:sSubPr>
                    <m:ctrlPr>
                      <w:rPr>
                        <w:rFonts w:ascii="Cambria Math" w:hAnsi="Cambria Math" w:eastAsia="方正仿宋_GB2312"/>
                        <w:i/>
                      </w:rPr>
                    </m:ctrlPr>
                  </m:sSubPr>
                  <m:e>
                    <m:r>
                      <m:rPr/>
                      <w:rPr>
                        <w:rFonts w:ascii="Cambria Math" w:hAnsi="Cambria Math" w:eastAsia="方正仿宋_GB2312"/>
                      </w:rPr>
                      <m:t>F</m:t>
                    </m:r>
                    <m:ctrlPr>
                      <w:rPr>
                        <w:rFonts w:ascii="Cambria Math" w:hAnsi="Cambria Math" w:eastAsia="方正仿宋_GB2312"/>
                        <w:i/>
                      </w:rPr>
                    </m:ctrlPr>
                  </m:e>
                  <m:sub>
                    <m:r>
                      <m:rPr/>
                      <w:rPr>
                        <w:rFonts w:ascii="Cambria Math" w:hAnsi="Cambria Math"/>
                      </w:rPr>
                      <m:t>电</m:t>
                    </m:r>
                    <m:ctrlPr>
                      <w:rPr>
                        <w:rFonts w:ascii="Cambria Math" w:hAnsi="Cambria Math" w:eastAsia="方正仿宋_GB2312"/>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3913" w:type="pct"/>
          </w:tcPr>
          <w:p>
            <w:pPr>
              <w:pStyle w:val="44"/>
              <w:widowControl w:val="0"/>
              <w:adjustRightInd w:val="0"/>
              <w:snapToGrid w:val="0"/>
              <w:ind w:left="-120" w:leftChars="-50" w:firstLine="0" w:firstLineChars="0"/>
              <w:rPr>
                <w:rFonts w:ascii="Times New Roman"/>
              </w:rPr>
            </w:pPr>
            <w:r>
              <w:rPr>
                <w:rFonts w:ascii="Times New Roman"/>
              </w:rPr>
              <w:t>电力的二氧化碳排放因子，</w:t>
            </w:r>
            <w:r>
              <w:rPr>
                <w:rFonts w:hint="eastAsia" w:ascii="Times New Roman"/>
              </w:rPr>
              <w:t>以</w:t>
            </w:r>
            <w:r>
              <w:rPr>
                <w:rFonts w:ascii="Times New Roman"/>
              </w:rPr>
              <w:t>吨二氧化碳每兆瓦时（tCO</w:t>
            </w:r>
            <w:r>
              <w:rPr>
                <w:rFonts w:ascii="Times New Roman"/>
                <w:vertAlign w:val="subscript"/>
              </w:rPr>
              <w:t>2</w:t>
            </w:r>
            <w:r>
              <w:rPr>
                <w:rFonts w:ascii="Times New Roman"/>
              </w:rPr>
              <w:t>/MWh）</w:t>
            </w:r>
            <w:r>
              <w:rPr>
                <w:rFonts w:hint="eastAsia" w:ascii="Times New Roman"/>
              </w:rPr>
              <w:t>计</w:t>
            </w:r>
            <w:r>
              <w:rPr>
                <w:rFonts w:ascii="Times New Roman"/>
              </w:rPr>
              <w:t>。</w:t>
            </w:r>
          </w:p>
        </w:tc>
      </w:tr>
    </w:tbl>
    <w:p>
      <w:pPr>
        <w:pStyle w:val="21"/>
        <w:spacing w:before="156" w:after="156"/>
        <w:rPr>
          <w:rFonts w:hint="eastAsia" w:hAnsi="Times New Roman" w:cs="Times New Roman"/>
          <w:color w:val="auto"/>
          <w:lang w:val="en-US" w:eastAsia="zh-CN"/>
        </w:rPr>
      </w:pPr>
      <w:r>
        <w:rPr>
          <w:rFonts w:hint="eastAsia" w:hAnsi="Times New Roman" w:cs="Times New Roman"/>
          <w:color w:val="auto"/>
          <w:lang w:val="en-US" w:eastAsia="zh-CN"/>
        </w:rPr>
        <w:t>数据的监测与获取</w:t>
      </w:r>
    </w:p>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购入电量</w:t>
      </w:r>
    </w:p>
    <w:p>
      <w:pPr>
        <w:pStyle w:val="44"/>
        <w:ind w:firstLine="420"/>
        <w:rPr>
          <w:rFonts w:ascii="Times New Roman"/>
        </w:rPr>
      </w:pPr>
      <w:r>
        <w:rPr>
          <w:rFonts w:ascii="Times New Roman"/>
        </w:rPr>
        <w:t>企业应按GB 17167</w:t>
      </w:r>
      <w:r>
        <w:rPr>
          <w:rFonts w:hint="eastAsia" w:ascii="Times New Roman"/>
        </w:rPr>
        <w:t>和</w:t>
      </w:r>
      <w:r>
        <w:rPr>
          <w:rFonts w:ascii="Times New Roman"/>
        </w:rPr>
        <w:t>GB/T 24851的要求配备电能表，不同类型的电能表计量要求见表3。</w:t>
      </w:r>
    </w:p>
    <w:p>
      <w:pPr>
        <w:pStyle w:val="53"/>
        <w:spacing w:before="156" w:after="156"/>
        <w:rPr>
          <w:rFonts w:ascii="Times New Roman"/>
        </w:rPr>
      </w:pPr>
      <w:r>
        <w:rPr>
          <w:rFonts w:ascii="Times New Roman"/>
        </w:rPr>
        <w:t>电能表计量要求</w:t>
      </w:r>
    </w:p>
    <w:tbl>
      <w:tblPr>
        <w:tblStyle w:val="11"/>
        <w:tblW w:w="48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70"/>
        <w:gridCol w:w="1182"/>
        <w:gridCol w:w="1069"/>
        <w:gridCol w:w="1242"/>
        <w:gridCol w:w="953"/>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vAlign w:val="center"/>
          </w:tcPr>
          <w:p>
            <w:pPr>
              <w:pStyle w:val="18"/>
              <w:tabs>
                <w:tab w:val="center" w:pos="4201"/>
                <w:tab w:val="right" w:leader="dot" w:pos="9298"/>
              </w:tabs>
              <w:ind w:firstLine="0" w:firstLineChars="0"/>
              <w:jc w:val="center"/>
              <w:rPr>
                <w:rFonts w:ascii="Times New Roman"/>
                <w:b/>
                <w:bCs/>
                <w:sz w:val="18"/>
                <w:szCs w:val="18"/>
              </w:rPr>
            </w:pPr>
            <w:r>
              <w:rPr>
                <w:rFonts w:hint="eastAsia" w:ascii="Times New Roman"/>
                <w:b/>
                <w:bCs/>
                <w:sz w:val="18"/>
                <w:szCs w:val="18"/>
              </w:rPr>
              <w:t>电能表类型</w:t>
            </w:r>
          </w:p>
        </w:tc>
        <w:tc>
          <w:tcPr>
            <w:tcW w:w="630"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准确度等级</w:t>
            </w:r>
          </w:p>
        </w:tc>
        <w:tc>
          <w:tcPr>
            <w:tcW w:w="570" w:type="pct"/>
            <w:vAlign w:val="center"/>
          </w:tcPr>
          <w:p>
            <w:pPr>
              <w:pStyle w:val="21"/>
              <w:numPr>
                <w:ilvl w:val="0"/>
                <w:numId w:val="0"/>
              </w:numPr>
              <w:spacing w:before="0" w:beforeLines="0" w:after="0" w:afterLines="0"/>
              <w:jc w:val="center"/>
              <w:outlineLvl w:val="9"/>
              <w:rPr>
                <w:rFonts w:ascii="Times New Roman" w:eastAsia="宋体"/>
                <w:b/>
                <w:sz w:val="18"/>
                <w:szCs w:val="18"/>
              </w:rPr>
            </w:pPr>
            <w:r>
              <w:rPr>
                <w:rFonts w:ascii="Times New Roman" w:eastAsia="宋体"/>
                <w:b/>
                <w:sz w:val="18"/>
                <w:szCs w:val="18"/>
              </w:rPr>
              <w:t>计量设备</w:t>
            </w:r>
          </w:p>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溯源方式</w:t>
            </w:r>
          </w:p>
        </w:tc>
        <w:tc>
          <w:tcPr>
            <w:tcW w:w="662"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溯源频次</w:t>
            </w:r>
          </w:p>
        </w:tc>
        <w:tc>
          <w:tcPr>
            <w:tcW w:w="50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计量频次</w:t>
            </w:r>
          </w:p>
        </w:tc>
        <w:tc>
          <w:tcPr>
            <w:tcW w:w="512"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记录频次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用能单位变压器容量≥2000kV·A</w:t>
            </w:r>
          </w:p>
        </w:tc>
        <w:tc>
          <w:tcPr>
            <w:tcW w:w="630" w:type="pct"/>
            <w:vAlign w:val="center"/>
          </w:tcPr>
          <w:p>
            <w:pPr>
              <w:pStyle w:val="21"/>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0.5</w:t>
            </w:r>
          </w:p>
        </w:tc>
        <w:tc>
          <w:tcPr>
            <w:tcW w:w="570"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662"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50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512"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16" w:type="pct"/>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315kV·A≤用能单位变压器容量＜2000kV·A</w:t>
            </w:r>
          </w:p>
        </w:tc>
        <w:tc>
          <w:tcPr>
            <w:tcW w:w="630"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1.0</w:t>
            </w:r>
          </w:p>
        </w:tc>
        <w:tc>
          <w:tcPr>
            <w:tcW w:w="570" w:type="pct"/>
            <w:vAlign w:val="center"/>
          </w:tcPr>
          <w:p>
            <w:pPr>
              <w:pStyle w:val="21"/>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检定/校准</w:t>
            </w:r>
          </w:p>
        </w:tc>
        <w:tc>
          <w:tcPr>
            <w:tcW w:w="662" w:type="pct"/>
            <w:vAlign w:val="center"/>
          </w:tcPr>
          <w:p>
            <w:pPr>
              <w:pStyle w:val="21"/>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1次/12个月</w:t>
            </w:r>
          </w:p>
        </w:tc>
        <w:tc>
          <w:tcPr>
            <w:tcW w:w="50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512"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2116" w:type="pct"/>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用能单位变压器容量&lt;315kV·A 或单相供电</w:t>
            </w:r>
          </w:p>
        </w:tc>
        <w:tc>
          <w:tcPr>
            <w:tcW w:w="630"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2.0</w:t>
            </w:r>
          </w:p>
        </w:tc>
        <w:tc>
          <w:tcPr>
            <w:tcW w:w="570" w:type="pct"/>
            <w:vAlign w:val="center"/>
          </w:tcPr>
          <w:p>
            <w:pPr>
              <w:pStyle w:val="21"/>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检定/校准</w:t>
            </w:r>
          </w:p>
        </w:tc>
        <w:tc>
          <w:tcPr>
            <w:tcW w:w="662" w:type="pct"/>
            <w:vAlign w:val="center"/>
          </w:tcPr>
          <w:p>
            <w:pPr>
              <w:pStyle w:val="21"/>
              <w:numPr>
                <w:ilvl w:val="0"/>
                <w:numId w:val="0"/>
              </w:numPr>
              <w:spacing w:before="0" w:beforeLines="0" w:after="0" w:afterLines="0"/>
              <w:jc w:val="center"/>
              <w:outlineLvl w:val="9"/>
              <w:rPr>
                <w:rFonts w:ascii="Times New Roman" w:eastAsia="宋体"/>
                <w:b/>
                <w:sz w:val="18"/>
                <w:szCs w:val="18"/>
              </w:rPr>
            </w:pPr>
            <w:r>
              <w:rPr>
                <w:rFonts w:ascii="Times New Roman" w:eastAsia="宋体"/>
                <w:sz w:val="18"/>
                <w:szCs w:val="18"/>
              </w:rPr>
              <w:t>1次/12个月</w:t>
            </w:r>
          </w:p>
        </w:tc>
        <w:tc>
          <w:tcPr>
            <w:tcW w:w="50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512"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bl>
    <w:p>
      <w:pPr>
        <w:pStyle w:val="44"/>
        <w:ind w:firstLine="420"/>
        <w:rPr>
          <w:rFonts w:ascii="Times New Roman"/>
        </w:rPr>
      </w:pPr>
      <w:r>
        <w:rPr>
          <w:rFonts w:hint="eastAsia" w:ascii="Times New Roman"/>
        </w:rPr>
        <w:t>购入电量根据电表记录的读数统计，</w:t>
      </w:r>
      <w:r>
        <w:rPr>
          <w:rFonts w:hint="eastAsia"/>
        </w:rPr>
        <w:t>电表的配备和管理</w:t>
      </w:r>
      <w:r>
        <w:rPr>
          <w:rFonts w:hint="default" w:ascii="Times New Roman" w:hAnsi="Times New Roman" w:cs="Times New Roman"/>
        </w:rPr>
        <w:t>应符合GB 17167等标准</w:t>
      </w:r>
      <w:r>
        <w:rPr>
          <w:rFonts w:hint="eastAsia"/>
        </w:rPr>
        <w:t>的要求，并确保在有效的检定/校准周期内。</w:t>
      </w:r>
      <w:r>
        <w:rPr>
          <w:rFonts w:hint="eastAsia"/>
          <w:lang w:val="en-US" w:eastAsia="zh-CN"/>
        </w:rPr>
        <w:t>可采用</w:t>
      </w:r>
      <w:r>
        <w:rPr>
          <w:rFonts w:hint="eastAsia" w:ascii="Times New Roman"/>
        </w:rPr>
        <w:t>结算凭证上的数据</w:t>
      </w:r>
      <w:r>
        <w:rPr>
          <w:rFonts w:hint="eastAsia" w:ascii="Times New Roman"/>
          <w:lang w:val="en-US" w:eastAsia="zh-CN"/>
        </w:rPr>
        <w:t>校核</w:t>
      </w:r>
      <w:r>
        <w:rPr>
          <w:rFonts w:ascii="Times New Roman"/>
        </w:rPr>
        <w:t>。</w:t>
      </w:r>
    </w:p>
    <w:p>
      <w:pPr>
        <w:pStyle w:val="44"/>
        <w:ind w:firstLine="420"/>
        <w:rPr>
          <w:rFonts w:ascii="Times New Roman"/>
        </w:rPr>
      </w:pPr>
      <w:r>
        <w:rPr>
          <w:rFonts w:hint="eastAsia" w:ascii="Times New Roman"/>
        </w:rPr>
        <w:t>通过市场化交易购入使用的非化石能源电力消费量，是指以交易方式购买并实际执行、结算的电量，应提供发电与用电双方签订的市场化交易合同（对于无法提供合同的，应同时提供交易承诺书、交易公告和交易结果），以及按合同执行的绿色电力证书交易凭证和由省级及以上电力交易机构出具的交易结算凭证。交易结算凭证应载明在核算与报告周期内的月度结算电量及其项目类型、发电企业名称、用电企业名称等。绿色电力证书交易凭证载明的内容应包括项目名称、项目代码、项目类型、项目所在地、电量生产日期等。存量常规水电</w:t>
      </w:r>
      <w:r>
        <w:rPr>
          <w:rFonts w:hint="default" w:ascii="Times New Roman" w:hAnsi="Times New Roman" w:cs="Times New Roman"/>
          <w:vertAlign w:val="superscript"/>
        </w:rPr>
        <w:t>[</w:t>
      </w:r>
      <w:r>
        <w:rPr>
          <w:rStyle w:val="15"/>
          <w:rFonts w:hint="default" w:ascii="Times New Roman" w:hAnsi="Times New Roman" w:cs="Times New Roman"/>
        </w:rPr>
        <w:footnoteReference w:id="0"/>
      </w:r>
      <w:r>
        <w:rPr>
          <w:rFonts w:hint="default" w:ascii="Times New Roman" w:hAnsi="Times New Roman" w:cs="Times New Roman"/>
          <w:vertAlign w:val="superscript"/>
        </w:rPr>
        <w:t>]</w:t>
      </w:r>
      <w:r>
        <w:rPr>
          <w:rFonts w:hint="eastAsia" w:ascii="Times New Roman"/>
        </w:rPr>
        <w:t>和核电可不提供绿色电力证书交易凭证。</w:t>
      </w:r>
    </w:p>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电力排放因子</w:t>
      </w:r>
    </w:p>
    <w:p>
      <w:pPr>
        <w:pStyle w:val="44"/>
        <w:ind w:firstLine="420"/>
        <w:rPr>
          <w:rFonts w:ascii="Times New Roman"/>
        </w:rPr>
      </w:pPr>
      <w:r>
        <w:rPr>
          <w:rFonts w:hint="eastAsia" w:ascii="Times New Roman"/>
        </w:rPr>
        <w:t>电力排放因子采用生态环境部最新发布的数值</w:t>
      </w:r>
      <w:r>
        <w:rPr>
          <w:rFonts w:ascii="Times New Roman"/>
        </w:rPr>
        <w:t>。</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r>
        <w:rPr>
          <w:rFonts w:hint="eastAsia" w:ascii="黑体" w:eastAsia="黑体"/>
          <w:kern w:val="0"/>
          <w:sz w:val="21"/>
          <w:szCs w:val="21"/>
          <w:lang w:val="en-US" w:eastAsia="zh-CN"/>
        </w:rPr>
        <w:t xml:space="preserve">净购入使用热力的排放 </w:t>
      </w:r>
    </w:p>
    <w:p>
      <w:pPr>
        <w:pStyle w:val="21"/>
        <w:bidi w:val="0"/>
        <w:ind w:left="0" w:leftChars="0" w:firstLine="0" w:firstLineChars="0"/>
        <w:rPr>
          <w:rFonts w:hint="eastAsia"/>
          <w:lang w:val="en-US" w:eastAsia="zh-CN"/>
        </w:rPr>
      </w:pPr>
      <w:r>
        <w:rPr>
          <w:rFonts w:hint="eastAsia"/>
          <w:lang w:val="en-US" w:eastAsia="zh-CN"/>
        </w:rPr>
        <w:t xml:space="preserve">计算公式 </w:t>
      </w:r>
    </w:p>
    <w:p>
      <w:pPr>
        <w:pStyle w:val="44"/>
        <w:spacing w:before="156" w:beforeLines="50"/>
        <w:ind w:firstLine="420"/>
        <w:rPr>
          <w:rFonts w:ascii="Times New Roman"/>
        </w:rPr>
      </w:pPr>
      <w:r>
        <w:rPr>
          <w:rFonts w:ascii="Times New Roman"/>
        </w:rPr>
        <w:t>企业</w:t>
      </w:r>
      <w:r>
        <w:rPr>
          <w:rFonts w:hint="eastAsia" w:ascii="Times New Roman"/>
        </w:rPr>
        <w:t>净购入使用</w:t>
      </w:r>
      <w:r>
        <w:rPr>
          <w:rFonts w:ascii="Times New Roman"/>
        </w:rPr>
        <w:t>热力产生的二氧化碳排放量按</w:t>
      </w:r>
      <w:r>
        <w:rPr>
          <w:rFonts w:hint="eastAsia" w:ascii="Times New Roman"/>
          <w:lang w:eastAsia="zh-CN"/>
        </w:rPr>
        <w:t>公式（</w:t>
      </w:r>
      <w:r>
        <w:rPr>
          <w:rFonts w:hint="eastAsia" w:ascii="Times New Roman"/>
          <w:lang w:val="en-US" w:eastAsia="zh-CN"/>
        </w:rPr>
        <w:t>5</w:t>
      </w:r>
      <w:r>
        <w:rPr>
          <w:rFonts w:ascii="Times New Roman"/>
        </w:rPr>
        <w:t>）计算</w:t>
      </w:r>
      <w:r>
        <w:rPr>
          <w:rFonts w:hint="eastAsia" w:ascii="Times New Roman"/>
        </w:rPr>
        <w:t>：</w:t>
      </w:r>
    </w:p>
    <w:p>
      <w:pPr>
        <w:pStyle w:val="50"/>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E</m:t>
            </m:r>
            <m:ctrlPr>
              <w:rPr>
                <w:rFonts w:ascii="Cambria Math" w:hAnsi="Cambria Math"/>
                <w:i/>
              </w:rPr>
            </m:ctrlPr>
          </m:e>
          <m:sub>
            <m:r>
              <m:rPr/>
              <w:rPr>
                <w:rFonts w:ascii="Cambria Math" w:hAnsi="Cambria Math"/>
              </w:rPr>
              <m:t>热</m:t>
            </m:r>
            <m:ctrlPr>
              <w:rPr>
                <w:rFonts w:ascii="Cambria Math" w:hAnsi="Cambria Math"/>
                <w:i/>
              </w:rPr>
            </m:ctrlPr>
          </m:sub>
        </m:sSub>
        <m:r>
          <m:rPr/>
          <w:rPr>
            <w:rFonts w:ascii="Cambria Math" w:hAnsi="Cambria Math"/>
          </w:rPr>
          <m:t>=</m:t>
        </m:r>
        <m:r>
          <m:rPr/>
          <w:rPr>
            <w:rFonts w:hint="eastAsia" w:ascii="Cambria Math" w:hAnsi="Cambria Math"/>
          </w:rPr>
          <m:t>Δ</m:t>
        </m:r>
        <m:r>
          <m:rPr/>
          <w:rPr>
            <w:rFonts w:ascii="Cambria Math" w:hAnsi="Cambria Math"/>
          </w:rPr>
          <m:t>A</m:t>
        </m:r>
        <m:sSub>
          <m:sSubPr>
            <m:ctrlPr>
              <w:rPr>
                <w:rFonts w:ascii="Cambria Math" w:hAnsi="Cambria Math"/>
                <w:i/>
              </w:rPr>
            </m:ctrlPr>
          </m:sSubPr>
          <m:e>
            <m:r>
              <m:rPr/>
              <w:rPr>
                <w:rFonts w:ascii="Cambria Math" w:hAnsi="Cambria Math"/>
              </w:rPr>
              <m:t>D</m:t>
            </m:r>
            <m:ctrlPr>
              <w:rPr>
                <w:rFonts w:ascii="Cambria Math" w:hAnsi="Cambria Math"/>
                <w:i/>
              </w:rPr>
            </m:ctrlPr>
          </m:e>
          <m:sub>
            <m:r>
              <m:rPr/>
              <w:rPr>
                <w:rFonts w:ascii="Cambria Math" w:hAnsi="Cambria Math"/>
              </w:rPr>
              <m:t>热</m:t>
            </m:r>
            <m:ctrlPr>
              <w:rPr>
                <w:rFonts w:ascii="Cambria Math" w:hAnsi="Cambria Math"/>
                <w:i/>
              </w:rPr>
            </m:ctrlPr>
          </m:sub>
        </m:sSub>
        <m:r>
          <m:rPr/>
          <w:rPr>
            <w:rFonts w:ascii="Cambria Math" w:hAnsi="Cambria Math"/>
          </w:rPr>
          <m:t>×E</m:t>
        </m:r>
        <m:sSub>
          <m:sSubPr>
            <m:ctrlPr>
              <w:rPr>
                <w:rFonts w:ascii="Cambria Math" w:hAnsi="Cambria Math"/>
                <w:i/>
              </w:rPr>
            </m:ctrlPr>
          </m:sSubPr>
          <m:e>
            <m:r>
              <m:rPr/>
              <w:rPr>
                <w:rFonts w:ascii="Cambria Math" w:hAnsi="Cambria Math"/>
              </w:rPr>
              <m:t>F</m:t>
            </m:r>
            <m:ctrlPr>
              <w:rPr>
                <w:rFonts w:ascii="Cambria Math" w:hAnsi="Cambria Math"/>
                <w:i/>
              </w:rPr>
            </m:ctrlPr>
          </m:e>
          <m:sub>
            <m:r>
              <m:rPr/>
              <w:rPr>
                <w:rFonts w:ascii="Cambria Math" w:hAnsi="Cambria Math"/>
              </w:rPr>
              <m:t>热</m:t>
            </m:r>
            <m:ctrlPr>
              <w:rPr>
                <w:rFonts w:ascii="Cambria Math" w:hAnsi="Cambria Math"/>
                <w:i/>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5</w:t>
      </w:r>
      <w:r>
        <w:rPr>
          <w:rFonts w:hint="eastAsia" w:ascii="Times New Roman" w:hAnsi="Times New Roman"/>
        </w:rPr>
        <w:t>）</w:t>
      </w:r>
    </w:p>
    <w:p>
      <w:pPr>
        <w:pStyle w:val="51"/>
        <w:ind w:firstLine="420"/>
        <w:rPr>
          <w:rFonts w:ascii="Times New Roman" w:hAnsi="Times New Roman"/>
        </w:rPr>
      </w:pPr>
      <w:r>
        <w:rPr>
          <w:rFonts w:ascii="Times New Roman" w:hAnsi="Times New Roman"/>
        </w:rPr>
        <w:t>式中：</w:t>
      </w:r>
    </w:p>
    <w:tbl>
      <w:tblPr>
        <w:tblStyle w:val="12"/>
        <w:tblW w:w="4998"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49"/>
        <w:gridCol w:w="356"/>
        <w:gridCol w:w="8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96" w:type="pct"/>
            <w:vAlign w:val="top"/>
          </w:tcPr>
          <w:p>
            <w:pPr>
              <w:pStyle w:val="44"/>
              <w:widowControl w:val="0"/>
              <w:adjustRightInd w:val="0"/>
              <w:snapToGrid w:val="0"/>
              <w:ind w:firstLine="0" w:firstLineChars="0"/>
              <w:rPr>
                <w:rFonts w:hint="eastAsia" w:ascii="Cambria Math" w:hAnsi="Cambria Math"/>
                <w:i/>
                <w:oMath/>
              </w:rPr>
            </w:pPr>
            <m:oMathPara>
              <m:oMathParaPr>
                <m:jc m:val="left"/>
              </m:oMathParaPr>
              <m:oMath>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ascii="Cambria Math" w:hAnsi="Cambria Math"/>
                      </w:rPr>
                      <m:t>热</m:t>
                    </m:r>
                    <m:ctrlPr>
                      <w:rPr>
                        <w:rFonts w:ascii="Cambria Math" w:hAnsi="Cambria Math"/>
                        <w:i/>
                        <w:iCs/>
                      </w:rPr>
                    </m:ctrlPr>
                  </m:sub>
                </m:sSub>
              </m:oMath>
            </m:oMathPara>
          </w:p>
        </w:tc>
        <w:tc>
          <w:tcPr>
            <w:tcW w:w="186" w:type="pct"/>
            <w:vAlign w:val="top"/>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317" w:type="pct"/>
            <w:vAlign w:val="top"/>
          </w:tcPr>
          <w:p>
            <w:pPr>
              <w:pStyle w:val="44"/>
              <w:widowControl w:val="0"/>
              <w:adjustRightInd w:val="0"/>
              <w:snapToGrid w:val="0"/>
              <w:ind w:left="-120" w:leftChars="-50" w:firstLine="0" w:firstLineChars="0"/>
              <w:rPr>
                <w:rFonts w:ascii="Times New Roman"/>
              </w:rPr>
            </w:pPr>
            <w:r>
              <w:rPr>
                <w:rFonts w:hint="eastAsia" w:ascii="Times New Roman"/>
              </w:rPr>
              <w:t>企业净</w:t>
            </w:r>
            <w:r>
              <w:rPr>
                <w:rFonts w:ascii="Times New Roman"/>
              </w:rPr>
              <w:t>购入热力产生的二氧化碳排放量，</w:t>
            </w:r>
            <w:r>
              <w:rPr>
                <w:rFonts w:hint="eastAsia" w:ascii="Times New Roman"/>
              </w:rPr>
              <w:t>以</w:t>
            </w:r>
            <w:r>
              <w:rPr>
                <w:rFonts w:ascii="Times New Roman"/>
              </w:rPr>
              <w:t>吨二氧化碳（tCO</w:t>
            </w:r>
            <w:r>
              <w:rPr>
                <w:rFonts w:ascii="Times New Roman"/>
                <w:vertAlign w:val="subscript"/>
              </w:rPr>
              <w:t>2</w:t>
            </w:r>
            <w:r>
              <w:rPr>
                <w:rFonts w:ascii="Times New Roman"/>
              </w:rPr>
              <w:t>）</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96" w:type="pct"/>
            <w:vAlign w:val="top"/>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rPr>
                  <m:t>A</m:t>
                </m:r>
                <m:sSub>
                  <m:sSubPr>
                    <m:ctrlPr>
                      <w:rPr>
                        <w:rFonts w:ascii="Cambria Math" w:hAnsi="Cambria Math"/>
                        <w:i/>
                        <w:iCs/>
                        <w:szCs w:val="21"/>
                      </w:rPr>
                    </m:ctrlPr>
                  </m:sSubPr>
                  <m:e>
                    <m:r>
                      <m:rPr/>
                      <w:rPr>
                        <w:rFonts w:ascii="Cambria Math" w:hAnsi="Cambria Math"/>
                      </w:rPr>
                      <m:t>D</m:t>
                    </m:r>
                    <m:ctrlPr>
                      <w:rPr>
                        <w:rFonts w:ascii="Cambria Math" w:hAnsi="Cambria Math"/>
                        <w:i/>
                        <w:iCs/>
                        <w:szCs w:val="21"/>
                      </w:rPr>
                    </m:ctrlPr>
                  </m:e>
                  <m:sub>
                    <m:r>
                      <m:rPr/>
                      <w:rPr>
                        <w:rFonts w:hint="eastAsia" w:ascii="Cambria Math" w:hAnsi="Cambria Math" w:cs="宋体"/>
                      </w:rPr>
                      <m:t>购入热</m:t>
                    </m:r>
                    <m:ctrlPr>
                      <w:rPr>
                        <w:rFonts w:ascii="Cambria Math" w:hAnsi="Cambria Math"/>
                        <w:i/>
                        <w:iCs/>
                        <w:szCs w:val="21"/>
                      </w:rPr>
                    </m:ctrlPr>
                  </m:sub>
                </m:sSub>
              </m:oMath>
            </m:oMathPara>
          </w:p>
        </w:tc>
        <w:tc>
          <w:tcPr>
            <w:tcW w:w="186" w:type="pct"/>
            <w:vAlign w:val="top"/>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317" w:type="pct"/>
            <w:vAlign w:val="top"/>
          </w:tcPr>
          <w:p>
            <w:pPr>
              <w:pStyle w:val="44"/>
              <w:widowControl w:val="0"/>
              <w:adjustRightInd w:val="0"/>
              <w:snapToGrid w:val="0"/>
              <w:ind w:left="-120" w:leftChars="-50" w:firstLine="0" w:firstLineChars="0"/>
              <w:rPr>
                <w:rFonts w:ascii="Times New Roman"/>
              </w:rPr>
            </w:pPr>
            <w:r>
              <w:rPr>
                <w:rFonts w:ascii="Times New Roman"/>
              </w:rPr>
              <w:t>核算和报告期内</w:t>
            </w:r>
            <w:r>
              <w:rPr>
                <w:rFonts w:hint="eastAsia"/>
                <w:szCs w:val="21"/>
              </w:rPr>
              <w:t>购入的总热量</w:t>
            </w:r>
            <w:r>
              <w:rPr>
                <w:rFonts w:ascii="Times New Roman"/>
              </w:rPr>
              <w:t>，</w:t>
            </w:r>
            <w:r>
              <w:rPr>
                <w:rFonts w:hint="eastAsia" w:ascii="Times New Roman"/>
              </w:rPr>
              <w:t>以</w:t>
            </w:r>
            <w:r>
              <w:rPr>
                <w:rFonts w:ascii="Times New Roman"/>
              </w:rPr>
              <w:t>吉焦（GJ）</w:t>
            </w:r>
            <w:r>
              <w:rPr>
                <w:rFonts w:hint="eastAsia" w:ascii="Times New Roman"/>
              </w:rPr>
              <w:t>计，可</w:t>
            </w:r>
            <w:r>
              <w:rPr>
                <w:rFonts w:ascii="Times New Roman"/>
              </w:rPr>
              <w:t>按</w:t>
            </w:r>
            <w:r>
              <w:rPr>
                <w:rFonts w:hint="eastAsia" w:ascii="Times New Roman"/>
                <w:lang w:eastAsia="zh-CN"/>
              </w:rPr>
              <w:t>公式（</w:t>
            </w:r>
            <w:r>
              <w:rPr>
                <w:rFonts w:hint="eastAsia" w:ascii="Times New Roman"/>
                <w:lang w:val="en-US" w:eastAsia="zh-CN"/>
              </w:rPr>
              <w:t>6</w:t>
            </w:r>
            <w:r>
              <w:rPr>
                <w:rFonts w:ascii="Times New Roman"/>
              </w:rPr>
              <w:t>）</w:t>
            </w:r>
            <w:r>
              <w:rPr>
                <w:rFonts w:hint="eastAsia" w:ascii="Times New Roman"/>
              </w:rPr>
              <w:t>或</w:t>
            </w:r>
            <w:r>
              <w:rPr>
                <w:rFonts w:hint="eastAsia" w:ascii="Times New Roman"/>
                <w:lang w:eastAsia="zh-CN"/>
              </w:rPr>
              <w:t>公式（</w:t>
            </w:r>
            <w:r>
              <w:rPr>
                <w:rFonts w:hint="eastAsia" w:ascii="Times New Roman"/>
                <w:lang w:val="en-US" w:eastAsia="zh-CN"/>
              </w:rPr>
              <w:t>7</w:t>
            </w:r>
            <w:r>
              <w:rPr>
                <w:rFonts w:hint="eastAsia" w:ascii="Times New Roman"/>
              </w:rPr>
              <w:t>）</w:t>
            </w:r>
            <w:r>
              <w:rPr>
                <w:rFonts w:ascii="Times New Roman"/>
              </w:rPr>
              <w:t>计算</w:t>
            </w:r>
            <w:r>
              <w:rPr>
                <w:rFonts w:hint="eastAsia"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96"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eastAsia="方正仿宋_GB2312"/>
                  </w:rPr>
                  <m:t>E</m:t>
                </m:r>
                <m:sSub>
                  <m:sSubPr>
                    <m:ctrlPr>
                      <w:rPr>
                        <w:rFonts w:ascii="Cambria Math" w:hAnsi="Cambria Math" w:eastAsia="方正仿宋_GB2312"/>
                        <w:i/>
                      </w:rPr>
                    </m:ctrlPr>
                  </m:sSubPr>
                  <m:e>
                    <m:r>
                      <m:rPr/>
                      <w:rPr>
                        <w:rFonts w:ascii="Cambria Math" w:hAnsi="Cambria Math" w:eastAsia="方正仿宋_GB2312"/>
                      </w:rPr>
                      <m:t>F</m:t>
                    </m:r>
                    <m:ctrlPr>
                      <w:rPr>
                        <w:rFonts w:ascii="Cambria Math" w:hAnsi="Cambria Math" w:eastAsia="方正仿宋_GB2312"/>
                        <w:i/>
                      </w:rPr>
                    </m:ctrlPr>
                  </m:e>
                  <m:sub>
                    <m:r>
                      <m:rPr/>
                      <w:rPr>
                        <w:rFonts w:hint="eastAsia" w:ascii="Cambria Math" w:hAnsi="Cambria Math"/>
                      </w:rPr>
                      <m:t>热</m:t>
                    </m:r>
                    <m:ctrlPr>
                      <w:rPr>
                        <w:rFonts w:ascii="Cambria Math" w:hAnsi="Cambria Math" w:eastAsia="方正仿宋_GB2312"/>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317" w:type="pct"/>
          </w:tcPr>
          <w:p>
            <w:pPr>
              <w:pStyle w:val="44"/>
              <w:widowControl w:val="0"/>
              <w:adjustRightInd w:val="0"/>
              <w:snapToGrid w:val="0"/>
              <w:ind w:left="-120" w:leftChars="-50" w:firstLine="0" w:firstLineChars="0"/>
              <w:rPr>
                <w:rFonts w:ascii="Times New Roman"/>
              </w:rPr>
            </w:pPr>
            <w:r>
              <w:rPr>
                <w:rFonts w:ascii="Times New Roman"/>
              </w:rPr>
              <w:t>热力的二氧化碳排放因子，</w:t>
            </w:r>
            <w:r>
              <w:rPr>
                <w:rFonts w:hint="eastAsia" w:ascii="Times New Roman"/>
              </w:rPr>
              <w:t>以</w:t>
            </w:r>
            <w:r>
              <w:rPr>
                <w:rFonts w:ascii="Times New Roman"/>
              </w:rPr>
              <w:t>吨二氧化碳每吉焦（tCO</w:t>
            </w:r>
            <w:r>
              <w:rPr>
                <w:rFonts w:ascii="Times New Roman"/>
                <w:vertAlign w:val="subscript"/>
              </w:rPr>
              <w:t>2</w:t>
            </w:r>
            <w:r>
              <w:rPr>
                <w:rFonts w:ascii="Times New Roman"/>
              </w:rPr>
              <w:t>/GJ）</w:t>
            </w:r>
            <w:r>
              <w:rPr>
                <w:rFonts w:hint="eastAsia" w:ascii="Times New Roman"/>
              </w:rPr>
              <w:t>计</w:t>
            </w:r>
            <w:r>
              <w:rPr>
                <w:rFonts w:ascii="Times New Roman"/>
              </w:rPr>
              <w:t>。</w:t>
            </w:r>
          </w:p>
        </w:tc>
      </w:tr>
    </w:tbl>
    <w:p>
      <w:pPr>
        <w:pStyle w:val="18"/>
        <w:tabs>
          <w:tab w:val="center" w:pos="4201"/>
          <w:tab w:val="right" w:leader="dot" w:pos="9298"/>
        </w:tabs>
        <w:rPr>
          <w:rFonts w:ascii="Times New Roman"/>
        </w:rPr>
      </w:pPr>
      <w:r>
        <w:rPr>
          <w:rFonts w:ascii="Times New Roman"/>
        </w:rPr>
        <w:t>以质量单位计量的蒸汽可按式（</w:t>
      </w:r>
      <w:r>
        <w:rPr>
          <w:rFonts w:hint="eastAsia" w:ascii="Times New Roman"/>
          <w:lang w:val="en-US" w:eastAsia="zh-CN"/>
        </w:rPr>
        <w:t>6</w:t>
      </w:r>
      <w:r>
        <w:rPr>
          <w:rFonts w:ascii="Times New Roman"/>
        </w:rPr>
        <w:t>）转换为热量单位。</w:t>
      </w:r>
    </w:p>
    <w:p>
      <w:pPr>
        <w:pStyle w:val="50"/>
        <w:rPr>
          <w:rFonts w:ascii="Times New Roman" w:hAnsi="Times New Roman"/>
        </w:rPr>
      </w:pPr>
      <w:r>
        <w:rPr>
          <w:rFonts w:ascii="Times New Roman" w:hAnsi="Times New Roman"/>
        </w:rPr>
        <w:tab/>
      </w:r>
      <m:oMath>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st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Ma</m:t>
            </m:r>
            <m:ctrlPr>
              <w:rPr>
                <w:rFonts w:ascii="Cambria Math" w:hAnsi="Cambria Math"/>
                <w:i/>
              </w:rPr>
            </m:ctrlPr>
          </m:e>
          <m:sub>
            <m:r>
              <m:rPr/>
              <w:rPr>
                <w:rFonts w:ascii="Cambria Math" w:hAnsi="Cambria Math"/>
              </w:rPr>
              <m:t>st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En</m:t>
            </m:r>
            <m:ctrlPr>
              <w:rPr>
                <w:rFonts w:ascii="Cambria Math" w:hAnsi="Cambria Math"/>
                <w:i/>
              </w:rPr>
            </m:ctrlPr>
          </m:e>
          <m:sub>
            <m:r>
              <m:rPr/>
              <w:rPr>
                <w:rFonts w:ascii="Cambria Math" w:hAnsi="Cambria Math"/>
              </w:rPr>
              <m:t>st</m:t>
            </m:r>
            <m:ctrlPr>
              <w:rPr>
                <w:rFonts w:ascii="Cambria Math" w:hAnsi="Cambria Math"/>
                <w:i/>
              </w:rPr>
            </m:ctrlPr>
          </m:sub>
        </m:sSub>
        <m:r>
          <m:rPr/>
          <w:rPr>
            <w:rFonts w:ascii="Cambria Math" w:hAnsi="Cambria Math"/>
          </w:rPr>
          <m:t>−83.74)×</m:t>
        </m:r>
        <m:sSup>
          <m:sSupPr>
            <m:ctrlPr>
              <w:rPr>
                <w:rFonts w:ascii="Cambria Math" w:hAnsi="Cambria Math"/>
                <w:i/>
              </w:rPr>
            </m:ctrlPr>
          </m:sSupPr>
          <m:e>
            <m:r>
              <m:rPr/>
              <w:rPr>
                <w:rFonts w:ascii="Cambria Math" w:hAnsi="Cambria Math"/>
              </w:rPr>
              <m:t>10</m:t>
            </m:r>
            <m:ctrlPr>
              <w:rPr>
                <w:rFonts w:ascii="Cambria Math" w:hAnsi="Cambria Math"/>
                <w:i/>
              </w:rPr>
            </m:ctrlPr>
          </m:e>
          <m:sup>
            <m:r>
              <m:rPr/>
              <w:rPr>
                <w:rFonts w:ascii="Cambria Math" w:hAnsi="Cambria Math"/>
              </w:rPr>
              <m:t>−3</m:t>
            </m:r>
            <m:ctrlPr>
              <w:rPr>
                <w:rFonts w:ascii="Cambria Math" w:hAnsi="Cambria Math"/>
                <w:i/>
              </w:rPr>
            </m:ctrlPr>
          </m:sup>
        </m:sSup>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6</w:t>
      </w:r>
      <w:r>
        <w:rPr>
          <w:rFonts w:hint="eastAsia" w:ascii="Times New Roman" w:hAnsi="Times New Roman"/>
        </w:rPr>
        <w:t>）</w:t>
      </w:r>
    </w:p>
    <w:p>
      <w:pPr>
        <w:pStyle w:val="18"/>
        <w:tabs>
          <w:tab w:val="center" w:pos="4201"/>
          <w:tab w:val="right" w:leader="dot" w:pos="9298"/>
        </w:tabs>
        <w:rPr>
          <w:rFonts w:ascii="Times New Roman"/>
        </w:rPr>
      </w:pPr>
      <w:r>
        <w:rPr>
          <w:rFonts w:ascii="Times New Roman"/>
        </w:rPr>
        <w:t>式中：</w:t>
      </w:r>
    </w:p>
    <w:tbl>
      <w:tblPr>
        <w:tblStyle w:val="12"/>
        <w:tblW w:w="4998"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25"/>
        <w:gridCol w:w="319"/>
        <w:gridCol w:w="85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41" w:type="pct"/>
          </w:tcPr>
          <w:p>
            <w:pPr>
              <w:pStyle w:val="44"/>
              <w:widowControl w:val="0"/>
              <w:adjustRightInd w:val="0"/>
              <w:snapToGrid w:val="0"/>
              <w:ind w:firstLine="0" w:firstLineChars="0"/>
              <w:rPr>
                <w:rFonts w:ascii="Times New Roman"/>
                <w:iCs/>
              </w:rPr>
            </w:pPr>
            <m:oMathPara>
              <m:oMathParaPr>
                <m:jc m:val="left"/>
              </m:oMathParaPr>
              <m:oMath>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st</m:t>
                    </m:r>
                    <m:ctrlPr>
                      <w:rPr>
                        <w:rFonts w:ascii="Cambria Math" w:hAnsi="Cambria Math"/>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72" w:type="pct"/>
          </w:tcPr>
          <w:p>
            <w:pPr>
              <w:pStyle w:val="44"/>
              <w:widowControl w:val="0"/>
              <w:adjustRightInd w:val="0"/>
              <w:snapToGrid w:val="0"/>
              <w:ind w:left="-120" w:leftChars="-50" w:firstLine="0" w:firstLineChars="0"/>
              <w:rPr>
                <w:rFonts w:ascii="Times New Roman"/>
              </w:rPr>
            </w:pPr>
            <w:r>
              <w:rPr>
                <w:rFonts w:ascii="Times New Roman"/>
              </w:rPr>
              <w:t>蒸汽的热量，</w:t>
            </w:r>
            <w:r>
              <w:rPr>
                <w:rFonts w:hint="eastAsia" w:ascii="Times New Roman"/>
              </w:rPr>
              <w:t>以</w:t>
            </w:r>
            <w:r>
              <w:rPr>
                <w:rFonts w:ascii="Times New Roman"/>
              </w:rPr>
              <w:t>吉焦（GJ）</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41" w:type="pct"/>
          </w:tcPr>
          <w:p>
            <w:pPr>
              <w:pStyle w:val="44"/>
              <w:widowControl w:val="0"/>
              <w:adjustRightInd w:val="0"/>
              <w:snapToGrid w:val="0"/>
              <w:ind w:firstLine="0" w:firstLineChars="0"/>
              <w:rPr>
                <w:rFonts w:ascii="Times New Roman"/>
              </w:rPr>
            </w:pPr>
            <m:oMathPara>
              <m:oMathParaPr>
                <m:jc m:val="left"/>
              </m:oMathParaPr>
              <m:oMath>
                <m:sSub>
                  <m:sSubPr>
                    <m:ctrlPr>
                      <w:rPr>
                        <w:rFonts w:ascii="Cambria Math" w:hAnsi="Cambria Math"/>
                        <w:i/>
                      </w:rPr>
                    </m:ctrlPr>
                  </m:sSubPr>
                  <m:e>
                    <m:r>
                      <m:rPr/>
                      <w:rPr>
                        <w:rFonts w:ascii="Cambria Math" w:hAnsi="Cambria Math"/>
                      </w:rPr>
                      <m:t>Ma</m:t>
                    </m:r>
                    <m:ctrlPr>
                      <w:rPr>
                        <w:rFonts w:ascii="Cambria Math" w:hAnsi="Cambria Math"/>
                        <w:i/>
                      </w:rPr>
                    </m:ctrlPr>
                  </m:e>
                  <m:sub>
                    <m:r>
                      <m:rPr/>
                      <w:rPr>
                        <w:rFonts w:ascii="Cambria Math" w:hAnsi="Cambria Math"/>
                      </w:rPr>
                      <m:t>st</m:t>
                    </m:r>
                    <m:ctrlPr>
                      <w:rPr>
                        <w:rFonts w:ascii="Cambria Math" w:hAnsi="Cambria Math"/>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72" w:type="pct"/>
          </w:tcPr>
          <w:p>
            <w:pPr>
              <w:pStyle w:val="44"/>
              <w:widowControl w:val="0"/>
              <w:adjustRightInd w:val="0"/>
              <w:snapToGrid w:val="0"/>
              <w:ind w:left="-120" w:leftChars="-50" w:firstLine="0" w:firstLineChars="0"/>
              <w:rPr>
                <w:rFonts w:ascii="Times New Roman"/>
              </w:rPr>
            </w:pPr>
            <w:r>
              <w:rPr>
                <w:rFonts w:ascii="Times New Roman"/>
              </w:rPr>
              <w:t>蒸汽的质量，</w:t>
            </w:r>
            <w:r>
              <w:rPr>
                <w:rFonts w:hint="eastAsia" w:ascii="Times New Roman"/>
              </w:rPr>
              <w:t>以</w:t>
            </w:r>
            <w:r>
              <w:rPr>
                <w:rFonts w:ascii="Times New Roman"/>
              </w:rPr>
              <w:t>吨（t）</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41" w:type="pct"/>
          </w:tcPr>
          <w:p>
            <w:pPr>
              <w:pStyle w:val="44"/>
              <w:widowControl w:val="0"/>
              <w:adjustRightInd w:val="0"/>
              <w:snapToGrid w:val="0"/>
              <w:ind w:firstLine="0" w:firstLineChars="0"/>
              <w:rPr>
                <w:rFonts w:ascii="Times New Roman"/>
              </w:rPr>
            </w:pPr>
            <m:oMathPara>
              <m:oMathParaPr>
                <m:jc m:val="left"/>
              </m:oMathParaPr>
              <m:oMath>
                <m:sSub>
                  <m:sSubPr>
                    <m:ctrlPr>
                      <w:rPr>
                        <w:rFonts w:ascii="Cambria Math" w:hAnsi="Cambria Math"/>
                        <w:i/>
                      </w:rPr>
                    </m:ctrlPr>
                  </m:sSubPr>
                  <m:e>
                    <m:r>
                      <m:rPr/>
                      <w:rPr>
                        <w:rFonts w:ascii="Cambria Math" w:hAnsi="Cambria Math"/>
                      </w:rPr>
                      <m:t>En</m:t>
                    </m:r>
                    <m:ctrlPr>
                      <w:rPr>
                        <w:rFonts w:ascii="Cambria Math" w:hAnsi="Cambria Math"/>
                        <w:i/>
                      </w:rPr>
                    </m:ctrlPr>
                  </m:e>
                  <m:sub>
                    <m:r>
                      <m:rPr/>
                      <w:rPr>
                        <w:rFonts w:ascii="Cambria Math" w:hAnsi="Cambria Math"/>
                      </w:rPr>
                      <m:t>st</m:t>
                    </m:r>
                    <m:ctrlPr>
                      <w:rPr>
                        <w:rFonts w:ascii="Cambria Math" w:hAnsi="Cambria Math"/>
                        <w:i/>
                      </w:rPr>
                    </m:ctrlPr>
                  </m:sub>
                </m:sSub>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72" w:type="pct"/>
          </w:tcPr>
          <w:p>
            <w:pPr>
              <w:pStyle w:val="44"/>
              <w:widowControl w:val="0"/>
              <w:adjustRightInd w:val="0"/>
              <w:snapToGrid w:val="0"/>
              <w:ind w:left="-120" w:leftChars="-50" w:firstLine="0" w:firstLineChars="0"/>
              <w:rPr>
                <w:rFonts w:ascii="Times New Roman"/>
              </w:rPr>
            </w:pPr>
            <w:r>
              <w:rPr>
                <w:rFonts w:ascii="Times New Roman"/>
              </w:rPr>
              <w:t>蒸汽所对应的温度、压力下每千克蒸汽的焓值，取值参考相关行业标准，</w:t>
            </w:r>
            <w:r>
              <w:rPr>
                <w:rFonts w:hint="eastAsia" w:ascii="Times New Roman"/>
              </w:rPr>
              <w:t>以</w:t>
            </w:r>
            <w:r>
              <w:rPr>
                <w:rFonts w:ascii="Times New Roman"/>
              </w:rPr>
              <w:t>千焦每千克（kJ/kg）</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341"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rPr>
                  <m:t>83.74</m:t>
                </m:r>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72" w:type="pct"/>
          </w:tcPr>
          <w:p>
            <w:pPr>
              <w:pStyle w:val="44"/>
              <w:widowControl w:val="0"/>
              <w:adjustRightInd w:val="0"/>
              <w:snapToGrid w:val="0"/>
              <w:ind w:left="-120" w:leftChars="-50" w:firstLine="0" w:firstLineChars="0"/>
              <w:rPr>
                <w:rFonts w:ascii="Times New Roman"/>
              </w:rPr>
            </w:pPr>
            <w:r>
              <w:rPr>
                <w:rFonts w:ascii="Times New Roman"/>
              </w:rPr>
              <w:t>水温为20℃时的焓值，</w:t>
            </w:r>
            <w:r>
              <w:rPr>
                <w:rFonts w:hint="eastAsia" w:ascii="Times New Roman"/>
              </w:rPr>
              <w:t>以</w:t>
            </w:r>
            <w:r>
              <w:rPr>
                <w:rFonts w:ascii="Times New Roman"/>
              </w:rPr>
              <w:t>千焦每千克（kJ/kg）</w:t>
            </w:r>
            <w:r>
              <w:rPr>
                <w:rFonts w:hint="eastAsia" w:ascii="Times New Roman"/>
              </w:rPr>
              <w:t>计</w:t>
            </w:r>
            <w:r>
              <w:rPr>
                <w:rFonts w:ascii="Times New Roman"/>
              </w:rPr>
              <w:t>。</w:t>
            </w:r>
          </w:p>
        </w:tc>
      </w:tr>
    </w:tbl>
    <w:p>
      <w:pPr>
        <w:pStyle w:val="18"/>
        <w:tabs>
          <w:tab w:val="center" w:pos="4201"/>
          <w:tab w:val="right" w:leader="dot" w:pos="9298"/>
        </w:tabs>
        <w:rPr>
          <w:rFonts w:ascii="Times New Roman"/>
        </w:rPr>
      </w:pPr>
      <w:r>
        <w:rPr>
          <w:rFonts w:ascii="Times New Roman"/>
        </w:rPr>
        <w:t>以质量单位计量的热水可按</w:t>
      </w:r>
      <w:r>
        <w:rPr>
          <w:rFonts w:hint="eastAsia" w:ascii="Times New Roman"/>
          <w:lang w:eastAsia="zh-CN"/>
        </w:rPr>
        <w:t>公式（</w:t>
      </w:r>
      <w:r>
        <w:rPr>
          <w:rFonts w:hint="eastAsia" w:ascii="Times New Roman"/>
          <w:lang w:val="en-US" w:eastAsia="zh-CN"/>
        </w:rPr>
        <w:t>7</w:t>
      </w:r>
      <w:r>
        <w:rPr>
          <w:rFonts w:ascii="Times New Roman"/>
        </w:rPr>
        <w:t>）转换为热量单位。</w:t>
      </w:r>
    </w:p>
    <w:p>
      <w:pPr>
        <w:pStyle w:val="50"/>
        <w:rPr>
          <w:rFonts w:ascii="Times New Roman" w:hAnsi="Times New Roman"/>
        </w:rPr>
      </w:pPr>
      <w:r>
        <w:rPr>
          <w:rFonts w:ascii="Times New Roman" w:hAnsi="Times New Roman"/>
        </w:rPr>
        <w:tab/>
      </w:r>
      <m:oMath>
        <m:sSub>
          <m:sSubPr>
            <m:ctrlPr>
              <w:rPr>
                <w:rFonts w:ascii="Cambria Math" w:hAnsi="Cambria Math"/>
                <w:iCs/>
              </w:rPr>
            </m:ctrlPr>
          </m:sSubPr>
          <m:e>
            <m:r>
              <m:rPr>
                <m:sty m:val="p"/>
              </m:rPr>
              <w:rPr>
                <w:rFonts w:ascii="Cambria Math" w:hAnsi="Cambria Math"/>
              </w:rPr>
              <m:t>AD</m:t>
            </m:r>
            <m:ctrlPr>
              <w:rPr>
                <w:rFonts w:ascii="Cambria Math" w:hAnsi="Cambria Math"/>
                <w:iCs/>
              </w:rPr>
            </m:ctrlPr>
          </m:e>
          <m:sub>
            <m:r>
              <m:rPr>
                <m:sty m:val="p"/>
              </m:rPr>
              <w:rPr>
                <w:rFonts w:ascii="Cambria Math" w:hAnsi="Cambria Math"/>
              </w:rPr>
              <m:t>w</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Ma</m:t>
            </m:r>
            <m:ctrlPr>
              <w:rPr>
                <w:rFonts w:ascii="Cambria Math" w:hAnsi="Cambria Math"/>
                <w:iCs/>
              </w:rPr>
            </m:ctrlPr>
          </m:e>
          <m:sub>
            <m:r>
              <m:rPr>
                <m:sty m:val="p"/>
              </m:rPr>
              <w:rPr>
                <w:rFonts w:ascii="Cambria Math" w:hAnsi="Cambria Math"/>
              </w:rPr>
              <m:t>w</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w</m:t>
            </m:r>
            <m:ctrlPr>
              <w:rPr>
                <w:rFonts w:ascii="Cambria Math" w:hAnsi="Cambria Math"/>
                <w:iCs/>
              </w:rPr>
            </m:ctrlPr>
          </m:sub>
        </m:sSub>
        <m:r>
          <m:rPr>
            <m:sty m:val="p"/>
          </m:rPr>
          <w:rPr>
            <w:rFonts w:ascii="Cambria Math" w:hAnsi="Cambria Math"/>
          </w:rPr>
          <m:t>−20)×4.1868×</m:t>
        </m:r>
        <m:sSup>
          <m:sSupPr>
            <m:ctrlPr>
              <w:rPr>
                <w:rFonts w:ascii="Cambria Math" w:hAnsi="Cambria Math"/>
                <w:iCs/>
              </w:rPr>
            </m:ctrlPr>
          </m:sSupPr>
          <m:e>
            <m:r>
              <m:rPr>
                <m:sty m:val="p"/>
              </m:rPr>
              <w:rPr>
                <w:rFonts w:ascii="Cambria Math" w:hAnsi="Cambria Math"/>
              </w:rPr>
              <m:t>10</m:t>
            </m:r>
            <m:ctrlPr>
              <w:rPr>
                <w:rFonts w:ascii="Cambria Math" w:hAnsi="Cambria Math"/>
                <w:iCs/>
              </w:rPr>
            </m:ctrlPr>
          </m:e>
          <m:sup>
            <m:r>
              <m:rPr>
                <m:sty m:val="p"/>
              </m:rPr>
              <w:rPr>
                <w:rFonts w:ascii="Cambria Math" w:hAnsi="Cambria Math"/>
              </w:rPr>
              <m:t>−3</m:t>
            </m:r>
            <m:ctrlPr>
              <w:rPr>
                <w:rFonts w:ascii="Cambria Math" w:hAnsi="Cambria Math"/>
                <w:iCs/>
              </w:rPr>
            </m:ctrlPr>
          </m:sup>
        </m:sSup>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7</w:t>
      </w:r>
      <w:r>
        <w:rPr>
          <w:rFonts w:hint="eastAsia" w:ascii="Times New Roman" w:hAnsi="Times New Roman"/>
        </w:rPr>
        <w:t>）</w:t>
      </w:r>
    </w:p>
    <w:p>
      <w:pPr>
        <w:pStyle w:val="18"/>
        <w:tabs>
          <w:tab w:val="center" w:pos="4201"/>
          <w:tab w:val="right" w:leader="dot" w:pos="9298"/>
        </w:tabs>
        <w:rPr>
          <w:rFonts w:ascii="Times New Roman"/>
        </w:rPr>
      </w:pPr>
      <w:r>
        <w:rPr>
          <w:rFonts w:ascii="Times New Roman"/>
        </w:rPr>
        <w:t>式中：</w:t>
      </w:r>
    </w:p>
    <w:tbl>
      <w:tblPr>
        <w:tblStyle w:val="12"/>
        <w:tblW w:w="4999"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1"/>
        <w:gridCol w:w="326"/>
        <w:gridCol w:w="84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06" w:type="pct"/>
          </w:tcPr>
          <w:p>
            <w:pPr>
              <w:pStyle w:val="44"/>
              <w:widowControl w:val="0"/>
              <w:adjustRightInd w:val="0"/>
              <w:snapToGrid w:val="0"/>
              <w:ind w:firstLine="0" w:firstLineChars="0"/>
              <w:rPr>
                <w:rFonts w:ascii="Times New Roman"/>
                <w:iCs/>
              </w:rPr>
            </w:pPr>
            <m:oMathPara>
              <m:oMathParaPr>
                <m:jc m:val="left"/>
              </m:oMathParaPr>
              <m:oMath>
                <m:sSub>
                  <m:sSubPr>
                    <m:ctrlPr>
                      <w:rPr>
                        <w:rFonts w:ascii="Cambria Math" w:hAnsi="Cambria Math"/>
                        <w:i/>
                      </w:rPr>
                    </m:ctrlPr>
                  </m:sSubPr>
                  <m:e>
                    <m:r>
                      <m:rPr/>
                      <w:rPr>
                        <w:rFonts w:ascii="Cambria Math" w:hAnsi="Cambria Math"/>
                      </w:rPr>
                      <m:t>AD</m:t>
                    </m:r>
                    <m:ctrlPr>
                      <w:rPr>
                        <w:rFonts w:ascii="Cambria Math" w:hAnsi="Cambria Math"/>
                        <w:i/>
                      </w:rPr>
                    </m:ctrlPr>
                  </m:e>
                  <m:sub>
                    <m:r>
                      <m:rPr/>
                      <w:rPr>
                        <w:rFonts w:ascii="Cambria Math" w:hAnsi="Cambria Math"/>
                      </w:rPr>
                      <m:t>w</m:t>
                    </m:r>
                    <m:ctrlPr>
                      <w:rPr>
                        <w:rFonts w:ascii="Cambria Math" w:hAnsi="Cambria Math"/>
                        <w:i/>
                      </w:rPr>
                    </m:ctrlPr>
                  </m:sub>
                </m:sSub>
              </m:oMath>
            </m:oMathPara>
          </w:p>
        </w:tc>
        <w:tc>
          <w:tcPr>
            <w:tcW w:w="187"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06" w:type="pct"/>
          </w:tcPr>
          <w:p>
            <w:pPr>
              <w:pStyle w:val="44"/>
              <w:widowControl w:val="0"/>
              <w:adjustRightInd w:val="0"/>
              <w:snapToGrid w:val="0"/>
              <w:ind w:left="-120" w:leftChars="-50" w:firstLine="0" w:firstLineChars="0"/>
              <w:rPr>
                <w:rFonts w:ascii="Times New Roman"/>
              </w:rPr>
            </w:pPr>
            <w:r>
              <w:rPr>
                <w:rFonts w:ascii="Times New Roman"/>
              </w:rPr>
              <w:t>热水的热量，</w:t>
            </w:r>
            <w:r>
              <w:rPr>
                <w:rFonts w:hint="eastAsia" w:ascii="Times New Roman"/>
              </w:rPr>
              <w:t>以</w:t>
            </w:r>
            <w:r>
              <w:rPr>
                <w:rFonts w:ascii="Times New Roman"/>
              </w:rPr>
              <w:t>吉焦（GJ）</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06" w:type="pct"/>
          </w:tcPr>
          <w:p>
            <w:pPr>
              <w:pStyle w:val="44"/>
              <w:widowControl w:val="0"/>
              <w:adjustRightInd w:val="0"/>
              <w:snapToGrid w:val="0"/>
              <w:ind w:firstLine="0" w:firstLineChars="0"/>
              <w:rPr>
                <w:rFonts w:ascii="Times New Roman"/>
              </w:rPr>
            </w:pPr>
            <m:oMathPara>
              <m:oMathParaPr>
                <m:jc m:val="left"/>
              </m:oMathParaPr>
              <m:oMath>
                <m:sSub>
                  <m:sSubPr>
                    <m:ctrlPr>
                      <w:rPr>
                        <w:rFonts w:ascii="Cambria Math" w:hAnsi="Cambria Math"/>
                        <w:i/>
                      </w:rPr>
                    </m:ctrlPr>
                  </m:sSubPr>
                  <m:e>
                    <m:r>
                      <m:rPr/>
                      <w:rPr>
                        <w:rFonts w:ascii="Cambria Math" w:hAnsi="Cambria Math"/>
                      </w:rPr>
                      <m:t>Ma</m:t>
                    </m:r>
                    <m:ctrlPr>
                      <w:rPr>
                        <w:rFonts w:ascii="Cambria Math" w:hAnsi="Cambria Math"/>
                        <w:i/>
                      </w:rPr>
                    </m:ctrlPr>
                  </m:e>
                  <m:sub>
                    <m:r>
                      <m:rPr/>
                      <w:rPr>
                        <w:rFonts w:ascii="Cambria Math" w:hAnsi="Cambria Math"/>
                      </w:rPr>
                      <m:t>w</m:t>
                    </m:r>
                    <m:ctrlPr>
                      <w:rPr>
                        <w:rFonts w:ascii="Cambria Math" w:hAnsi="Cambria Math"/>
                        <w:i/>
                      </w:rPr>
                    </m:ctrlPr>
                  </m:sub>
                </m:sSub>
              </m:oMath>
            </m:oMathPara>
          </w:p>
        </w:tc>
        <w:tc>
          <w:tcPr>
            <w:tcW w:w="187"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06" w:type="pct"/>
          </w:tcPr>
          <w:p>
            <w:pPr>
              <w:pStyle w:val="44"/>
              <w:widowControl w:val="0"/>
              <w:adjustRightInd w:val="0"/>
              <w:snapToGrid w:val="0"/>
              <w:ind w:left="-120" w:leftChars="-50" w:firstLine="0" w:firstLineChars="0"/>
              <w:rPr>
                <w:rFonts w:ascii="Times New Roman"/>
              </w:rPr>
            </w:pPr>
            <w:r>
              <w:rPr>
                <w:rFonts w:ascii="Times New Roman"/>
              </w:rPr>
              <w:t>热水的质量，</w:t>
            </w:r>
            <w:r>
              <w:rPr>
                <w:rFonts w:hint="eastAsia" w:ascii="Times New Roman"/>
              </w:rPr>
              <w:t>以</w:t>
            </w:r>
            <w:r>
              <w:rPr>
                <w:rFonts w:ascii="Times New Roman"/>
              </w:rPr>
              <w:t>吨（t）</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06" w:type="pct"/>
          </w:tcPr>
          <w:p>
            <w:pPr>
              <w:pStyle w:val="44"/>
              <w:widowControl w:val="0"/>
              <w:adjustRightInd w:val="0"/>
              <w:snapToGrid w:val="0"/>
              <w:ind w:firstLine="0" w:firstLineChars="0"/>
              <w:rPr>
                <w:rFonts w:ascii="Times New Roman"/>
              </w:rPr>
            </w:pPr>
            <m:oMathPara>
              <m:oMathParaPr>
                <m:jc m:val="left"/>
              </m:oMathPara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w</m:t>
                    </m:r>
                    <m:ctrlPr>
                      <w:rPr>
                        <w:rFonts w:ascii="Cambria Math" w:hAnsi="Cambria Math"/>
                        <w:i/>
                      </w:rPr>
                    </m:ctrlPr>
                  </m:sub>
                </m:sSub>
              </m:oMath>
            </m:oMathPara>
          </w:p>
        </w:tc>
        <w:tc>
          <w:tcPr>
            <w:tcW w:w="187"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06" w:type="pct"/>
          </w:tcPr>
          <w:p>
            <w:pPr>
              <w:pStyle w:val="44"/>
              <w:widowControl w:val="0"/>
              <w:adjustRightInd w:val="0"/>
              <w:snapToGrid w:val="0"/>
              <w:ind w:left="-120" w:leftChars="-50" w:firstLine="0" w:firstLineChars="0"/>
              <w:rPr>
                <w:rFonts w:ascii="Times New Roman"/>
              </w:rPr>
            </w:pPr>
            <w:r>
              <w:rPr>
                <w:rFonts w:ascii="Times New Roman"/>
              </w:rPr>
              <w:t>热水的温度，</w:t>
            </w:r>
            <w:r>
              <w:rPr>
                <w:rFonts w:hint="eastAsia" w:ascii="Times New Roman"/>
              </w:rPr>
              <w:t>以</w:t>
            </w:r>
            <w:r>
              <w:rPr>
                <w:rFonts w:ascii="Times New Roman"/>
              </w:rPr>
              <w:t>摄氏度（℃）</w:t>
            </w:r>
            <w:r>
              <w:rPr>
                <w:rFonts w:hint="eastAsia" w:ascii="Times New Roman"/>
              </w:rPr>
              <w:t>计</w:t>
            </w:r>
            <w:r>
              <w:rPr>
                <w:rFonts w:ascii="Times New Roma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06"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rPr>
                  <m:t>20</m:t>
                </m:r>
              </m:oMath>
            </m:oMathPara>
          </w:p>
        </w:tc>
        <w:tc>
          <w:tcPr>
            <w:tcW w:w="187"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06" w:type="pct"/>
          </w:tcPr>
          <w:p>
            <w:pPr>
              <w:pStyle w:val="44"/>
              <w:widowControl w:val="0"/>
              <w:adjustRightInd w:val="0"/>
              <w:snapToGrid w:val="0"/>
              <w:ind w:left="-120" w:leftChars="-50" w:firstLine="0" w:firstLineChars="0"/>
              <w:rPr>
                <w:rFonts w:ascii="Times New Roman"/>
              </w:rPr>
            </w:pPr>
            <w:r>
              <w:rPr>
                <w:rFonts w:ascii="Times New Roman"/>
              </w:rPr>
              <w:t>常温下水的温度，</w:t>
            </w:r>
            <w:r>
              <w:rPr>
                <w:rFonts w:hint="eastAsia" w:ascii="Times New Roman"/>
              </w:rPr>
              <w:t>以</w:t>
            </w:r>
            <w:r>
              <w:rPr>
                <w:rFonts w:ascii="Times New Roman"/>
              </w:rPr>
              <w:t>摄氏度（℃）</w:t>
            </w:r>
            <w:r>
              <w:rPr>
                <w:rFonts w:hint="eastAsia" w:ascii="Times New Roman"/>
              </w:rPr>
              <w:t>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406" w:type="pct"/>
          </w:tcPr>
          <w:p>
            <w:pPr>
              <w:pStyle w:val="44"/>
              <w:widowControl w:val="0"/>
              <w:adjustRightInd w:val="0"/>
              <w:snapToGrid w:val="0"/>
              <w:ind w:firstLine="0" w:firstLineChars="0"/>
              <w:rPr>
                <w:rFonts w:ascii="Calibri" w:hAnsi="Calibri"/>
              </w:rPr>
            </w:pPr>
            <m:oMathPara>
              <m:oMathParaPr>
                <m:jc m:val="left"/>
              </m:oMathParaPr>
              <m:oMath>
                <m:r>
                  <m:rPr/>
                  <w:rPr>
                    <w:rFonts w:ascii="Cambria Math" w:hAnsi="Cambria Math"/>
                  </w:rPr>
                  <m:t>4.1868</m:t>
                </m:r>
              </m:oMath>
            </m:oMathPara>
          </w:p>
        </w:tc>
        <w:tc>
          <w:tcPr>
            <w:tcW w:w="187"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406" w:type="pct"/>
          </w:tcPr>
          <w:p>
            <w:pPr>
              <w:pStyle w:val="44"/>
              <w:widowControl w:val="0"/>
              <w:adjustRightInd w:val="0"/>
              <w:snapToGrid w:val="0"/>
              <w:ind w:left="-120" w:leftChars="-50" w:firstLine="0" w:firstLineChars="0"/>
              <w:rPr>
                <w:rFonts w:ascii="Times New Roman"/>
              </w:rPr>
            </w:pPr>
            <w:r>
              <w:rPr>
                <w:rFonts w:ascii="Times New Roman"/>
              </w:rPr>
              <w:t>水在常温常压下的比热，</w:t>
            </w:r>
            <w:r>
              <w:rPr>
                <w:rFonts w:hint="eastAsia" w:ascii="Times New Roman"/>
              </w:rPr>
              <w:t>以</w:t>
            </w:r>
            <w:r>
              <w:rPr>
                <w:rFonts w:ascii="Times New Roman"/>
              </w:rPr>
              <w:t>千焦每千克每摄氏度[kJ/(kg∙℃)]</w:t>
            </w:r>
            <w:r>
              <w:rPr>
                <w:rFonts w:hint="eastAsia" w:ascii="Times New Roman"/>
              </w:rPr>
              <w:t>计</w:t>
            </w:r>
            <w:r>
              <w:rPr>
                <w:rFonts w:ascii="Times New Roman"/>
              </w:rPr>
              <w:t>。</w:t>
            </w:r>
          </w:p>
        </w:tc>
      </w:tr>
    </w:tbl>
    <w:p>
      <w:pPr>
        <w:pStyle w:val="21"/>
        <w:bidi w:val="0"/>
        <w:ind w:left="0" w:leftChars="0" w:firstLine="0" w:firstLineChars="0"/>
        <w:rPr>
          <w:rFonts w:hint="eastAsia"/>
          <w:lang w:val="en-US" w:eastAsia="zh-CN"/>
        </w:rPr>
      </w:pPr>
      <w:r>
        <w:rPr>
          <w:rFonts w:hint="eastAsia"/>
          <w:lang w:val="en-US" w:eastAsia="zh-CN"/>
        </w:rPr>
        <w:t>数据的监测与获取</w:t>
      </w:r>
    </w:p>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购入热力量</w:t>
      </w:r>
    </w:p>
    <w:p>
      <w:pPr>
        <w:pStyle w:val="44"/>
        <w:ind w:firstLine="420"/>
        <w:rPr>
          <w:rFonts w:ascii="Times New Roman"/>
        </w:rPr>
      </w:pPr>
      <w:r>
        <w:rPr>
          <w:rFonts w:ascii="Times New Roman"/>
        </w:rPr>
        <w:t>企业应按GB 17167</w:t>
      </w:r>
      <w:r>
        <w:rPr>
          <w:rFonts w:hint="eastAsia" w:ascii="Times New Roman"/>
        </w:rPr>
        <w:t>和</w:t>
      </w:r>
      <w:r>
        <w:rPr>
          <w:rFonts w:ascii="Times New Roman"/>
        </w:rPr>
        <w:t>GB/T 24851的要求配备热力计量器具，热力的计量要求见表4。</w:t>
      </w:r>
    </w:p>
    <w:p>
      <w:pPr>
        <w:pStyle w:val="53"/>
        <w:spacing w:before="156" w:after="156"/>
        <w:rPr>
          <w:rFonts w:ascii="Times New Roman"/>
        </w:rPr>
      </w:pPr>
      <w:r>
        <w:rPr>
          <w:rFonts w:ascii="Times New Roman"/>
        </w:rPr>
        <w:t>热力计量要求</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3249"/>
        <w:gridCol w:w="1196"/>
        <w:gridCol w:w="1539"/>
        <w:gridCol w:w="1196"/>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622" w:type="pct"/>
            <w:vAlign w:val="center"/>
          </w:tcPr>
          <w:p>
            <w:pPr>
              <w:pStyle w:val="18"/>
              <w:tabs>
                <w:tab w:val="center" w:pos="4201"/>
                <w:tab w:val="right" w:leader="dot" w:pos="9298"/>
              </w:tabs>
              <w:ind w:firstLine="0" w:firstLineChars="0"/>
              <w:jc w:val="center"/>
              <w:rPr>
                <w:rFonts w:ascii="Times New Roman"/>
                <w:b/>
                <w:bCs/>
                <w:sz w:val="18"/>
                <w:szCs w:val="18"/>
              </w:rPr>
            </w:pPr>
            <w:r>
              <w:rPr>
                <w:rFonts w:hint="eastAsia" w:ascii="Times New Roman"/>
                <w:b/>
                <w:bCs/>
                <w:sz w:val="18"/>
                <w:szCs w:val="18"/>
              </w:rPr>
              <w:t>热力类型</w:t>
            </w:r>
          </w:p>
        </w:tc>
        <w:tc>
          <w:tcPr>
            <w:tcW w:w="169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准确度等级</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计量设备溯源方式</w:t>
            </w:r>
          </w:p>
        </w:tc>
        <w:tc>
          <w:tcPr>
            <w:tcW w:w="804"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溯源频次</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计量频次</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b/>
                <w:sz w:val="18"/>
                <w:szCs w:val="18"/>
              </w:rPr>
              <w:t>记录频次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622" w:type="pct"/>
            <w:vAlign w:val="center"/>
          </w:tcPr>
          <w:p>
            <w:pPr>
              <w:pStyle w:val="18"/>
              <w:tabs>
                <w:tab w:val="center" w:pos="4201"/>
                <w:tab w:val="right" w:leader="dot" w:pos="9298"/>
              </w:tabs>
              <w:ind w:firstLine="0" w:firstLineChars="0"/>
              <w:jc w:val="center"/>
              <w:rPr>
                <w:rFonts w:ascii="Times New Roman"/>
                <w:sz w:val="18"/>
                <w:szCs w:val="18"/>
              </w:rPr>
            </w:pPr>
            <w:r>
              <w:rPr>
                <w:rFonts w:ascii="Times New Roman"/>
                <w:sz w:val="18"/>
                <w:szCs w:val="18"/>
              </w:rPr>
              <w:t>蒸汽</w:t>
            </w:r>
          </w:p>
        </w:tc>
        <w:tc>
          <w:tcPr>
            <w:tcW w:w="169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蒸汽流量表：2.0</w:t>
            </w:r>
          </w:p>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温度表：0.5</w:t>
            </w:r>
          </w:p>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压力表：0.5</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804"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622" w:type="pct"/>
            <w:vAlign w:val="center"/>
          </w:tcPr>
          <w:p>
            <w:pPr>
              <w:pStyle w:val="18"/>
              <w:tabs>
                <w:tab w:val="center" w:pos="4201"/>
                <w:tab w:val="right" w:leader="dot" w:pos="9298"/>
              </w:tabs>
              <w:ind w:firstLine="0" w:firstLineChars="0"/>
              <w:jc w:val="center"/>
              <w:rPr>
                <w:rFonts w:ascii="Times New Roman"/>
                <w:sz w:val="18"/>
                <w:szCs w:val="18"/>
              </w:rPr>
            </w:pPr>
            <w:r>
              <w:rPr>
                <w:rFonts w:ascii="Times New Roman"/>
                <w:sz w:val="18"/>
                <w:szCs w:val="18"/>
              </w:rPr>
              <w:t>热水</w:t>
            </w:r>
          </w:p>
        </w:tc>
        <w:tc>
          <w:tcPr>
            <w:tcW w:w="1698" w:type="pct"/>
            <w:vAlign w:val="center"/>
          </w:tcPr>
          <w:p>
            <w:pPr>
              <w:pStyle w:val="21"/>
              <w:numPr>
                <w:ilvl w:val="0"/>
                <w:numId w:val="0"/>
              </w:numPr>
              <w:spacing w:before="0" w:beforeLines="0" w:after="0" w:afterLines="0"/>
              <w:ind w:left="-120" w:leftChars="-50" w:right="-120" w:rightChars="-50"/>
              <w:jc w:val="center"/>
              <w:outlineLvl w:val="9"/>
              <w:rPr>
                <w:rFonts w:ascii="Times New Roman" w:eastAsia="宋体"/>
                <w:sz w:val="18"/>
                <w:szCs w:val="18"/>
              </w:rPr>
            </w:pPr>
            <w:r>
              <w:rPr>
                <w:rFonts w:ascii="Times New Roman" w:eastAsia="宋体"/>
                <w:sz w:val="18"/>
                <w:szCs w:val="18"/>
              </w:rPr>
              <w:t>水流量表（管径≤200mm）：2.0</w:t>
            </w:r>
          </w:p>
          <w:p>
            <w:pPr>
              <w:pStyle w:val="18"/>
              <w:tabs>
                <w:tab w:val="center" w:pos="4201"/>
                <w:tab w:val="right" w:leader="dot" w:pos="9298"/>
              </w:tabs>
              <w:ind w:left="-120" w:leftChars="-50" w:right="-120" w:rightChars="-50" w:firstLine="0" w:firstLineChars="0"/>
              <w:jc w:val="center"/>
              <w:rPr>
                <w:rFonts w:ascii="Times New Roman"/>
                <w:sz w:val="18"/>
                <w:szCs w:val="18"/>
              </w:rPr>
            </w:pPr>
            <w:r>
              <w:rPr>
                <w:rFonts w:ascii="Times New Roman"/>
                <w:sz w:val="18"/>
                <w:szCs w:val="18"/>
              </w:rPr>
              <w:t>水流量表（管径&gt;200mm）：1.5</w:t>
            </w:r>
          </w:p>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温度表：0.5</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804"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622" w:type="pct"/>
            <w:vAlign w:val="center"/>
          </w:tcPr>
          <w:p>
            <w:pPr>
              <w:pStyle w:val="18"/>
              <w:tabs>
                <w:tab w:val="center" w:pos="4201"/>
                <w:tab w:val="right" w:leader="dot" w:pos="9298"/>
              </w:tabs>
              <w:ind w:firstLine="0" w:firstLineChars="0"/>
              <w:jc w:val="center"/>
              <w:rPr>
                <w:rFonts w:ascii="Times New Roman"/>
                <w:sz w:val="18"/>
                <w:szCs w:val="18"/>
              </w:rPr>
            </w:pPr>
            <w:r>
              <w:rPr>
                <w:rFonts w:ascii="Times New Roman"/>
                <w:sz w:val="18"/>
                <w:szCs w:val="18"/>
              </w:rPr>
              <w:t>导热油</w:t>
            </w:r>
          </w:p>
        </w:tc>
        <w:tc>
          <w:tcPr>
            <w:tcW w:w="1698"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成品油流量表： 0.3</w:t>
            </w:r>
          </w:p>
          <w:p>
            <w:pPr>
              <w:pStyle w:val="21"/>
              <w:numPr>
                <w:ilvl w:val="0"/>
                <w:numId w:val="0"/>
              </w:numPr>
              <w:spacing w:before="0" w:beforeLines="0" w:after="0" w:afterLines="0"/>
              <w:jc w:val="center"/>
              <w:outlineLvl w:val="9"/>
              <w:rPr>
                <w:rFonts w:ascii="Times New Roman" w:eastAsia="宋体"/>
              </w:rPr>
            </w:pPr>
            <w:r>
              <w:rPr>
                <w:rFonts w:ascii="Times New Roman" w:eastAsia="宋体"/>
                <w:sz w:val="18"/>
                <w:szCs w:val="18"/>
              </w:rPr>
              <w:t>重油、渣油流量表：0.5</w:t>
            </w:r>
          </w:p>
          <w:p>
            <w:pPr>
              <w:pStyle w:val="21"/>
              <w:numPr>
                <w:ilvl w:val="0"/>
                <w:numId w:val="0"/>
              </w:numPr>
              <w:spacing w:before="0" w:beforeLines="0" w:after="0" w:afterLines="0"/>
              <w:jc w:val="center"/>
              <w:outlineLvl w:val="9"/>
              <w:rPr>
                <w:rFonts w:ascii="Times New Roman" w:eastAsia="宋体"/>
              </w:rPr>
            </w:pPr>
            <w:r>
              <w:rPr>
                <w:rFonts w:ascii="Times New Roman" w:eastAsia="宋体"/>
                <w:sz w:val="18"/>
                <w:szCs w:val="18"/>
              </w:rPr>
              <w:t>温度表：0.5</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检定/校准</w:t>
            </w:r>
          </w:p>
        </w:tc>
        <w:tc>
          <w:tcPr>
            <w:tcW w:w="804"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1次/12个月</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连续</w:t>
            </w:r>
          </w:p>
        </w:tc>
        <w:tc>
          <w:tcPr>
            <w:tcW w:w="625" w:type="pct"/>
            <w:vAlign w:val="center"/>
          </w:tcPr>
          <w:p>
            <w:pPr>
              <w:pStyle w:val="21"/>
              <w:numPr>
                <w:ilvl w:val="0"/>
                <w:numId w:val="0"/>
              </w:numPr>
              <w:spacing w:before="0" w:beforeLines="0" w:after="0" w:afterLines="0"/>
              <w:jc w:val="center"/>
              <w:outlineLvl w:val="9"/>
              <w:rPr>
                <w:rFonts w:ascii="Times New Roman" w:eastAsia="宋体"/>
                <w:sz w:val="18"/>
                <w:szCs w:val="18"/>
              </w:rPr>
            </w:pPr>
            <w:r>
              <w:rPr>
                <w:rFonts w:ascii="Times New Roman" w:eastAsia="宋体"/>
                <w:sz w:val="18"/>
                <w:szCs w:val="18"/>
              </w:rPr>
              <w:t>每月</w:t>
            </w:r>
          </w:p>
        </w:tc>
      </w:tr>
    </w:tbl>
    <w:p>
      <w:pPr>
        <w:pStyle w:val="44"/>
        <w:ind w:firstLine="420"/>
        <w:rPr>
          <w:rFonts w:ascii="Times New Roman"/>
        </w:rPr>
      </w:pPr>
      <w:r>
        <w:rPr>
          <w:rFonts w:hint="eastAsia" w:ascii="Times New Roman"/>
        </w:rPr>
        <w:t>购入热量和外供热量应采用流量表、热量表记录的计量数据，流量表、热量表的配备和管理应符合GB 17167等标准的要求，并确保在有效的检定/校准周期内。</w:t>
      </w:r>
      <w:r>
        <w:rPr>
          <w:rFonts w:hint="eastAsia" w:ascii="Times New Roman"/>
          <w:lang w:val="en-US" w:eastAsia="zh-CN"/>
        </w:rPr>
        <w:t>可采用</w:t>
      </w:r>
      <w:r>
        <w:rPr>
          <w:rFonts w:hint="eastAsia" w:ascii="Times New Roman"/>
        </w:rPr>
        <w:t>供应商提供的热力结算凭证上的数据</w:t>
      </w:r>
      <w:r>
        <w:rPr>
          <w:rFonts w:hint="eastAsia" w:ascii="Times New Roman"/>
          <w:lang w:val="en-US" w:eastAsia="zh-CN"/>
        </w:rPr>
        <w:t>进行校核</w:t>
      </w:r>
      <w:r>
        <w:rPr>
          <w:rFonts w:hint="eastAsia" w:ascii="Times New Roman"/>
        </w:rPr>
        <w:t>。</w:t>
      </w:r>
    </w:p>
    <w:p>
      <w:pPr>
        <w:pStyle w:val="44"/>
        <w:ind w:firstLine="420"/>
        <w:rPr>
          <w:rFonts w:ascii="Times New Roman"/>
        </w:rPr>
      </w:pPr>
      <w:r>
        <w:rPr>
          <w:rFonts w:hint="eastAsia" w:ascii="Times New Roman"/>
        </w:rPr>
        <w:t>蒸汽及热水温度、压力数据采用计量或控制系统的监测数据的月度算术平均值，数据不可得时也可采用运行参数范围内的经验值。</w:t>
      </w:r>
    </w:p>
    <w:p>
      <w:pPr>
        <w:pStyle w:val="21"/>
        <w:numPr>
          <w:ilvl w:val="3"/>
          <w:numId w:val="1"/>
        </w:numPr>
        <w:spacing w:before="156" w:after="156"/>
        <w:ind w:left="0" w:leftChars="0" w:firstLine="0" w:firstLineChars="0"/>
        <w:rPr>
          <w:rFonts w:hint="eastAsia" w:hAnsi="Times New Roman" w:cs="Times New Roman"/>
          <w:color w:val="auto"/>
          <w:lang w:val="en-US" w:eastAsia="zh-CN"/>
        </w:rPr>
      </w:pPr>
      <w:r>
        <w:rPr>
          <w:rFonts w:hint="eastAsia" w:hAnsi="Times New Roman" w:cs="Times New Roman"/>
          <w:color w:val="auto"/>
          <w:lang w:val="en-US" w:eastAsia="zh-CN"/>
        </w:rPr>
        <w:t>热力排放因子</w:t>
      </w:r>
    </w:p>
    <w:p>
      <w:pPr>
        <w:pStyle w:val="44"/>
        <w:ind w:firstLine="420"/>
        <w:rPr>
          <w:rFonts w:ascii="Times New Roman"/>
        </w:rPr>
      </w:pPr>
      <w:r>
        <w:rPr>
          <w:rFonts w:ascii="Times New Roman"/>
        </w:rPr>
        <w:t>热力</w:t>
      </w:r>
      <w:r>
        <w:rPr>
          <w:rFonts w:hint="eastAsia" w:ascii="Times New Roman"/>
        </w:rPr>
        <w:t>的二氧化碳</w:t>
      </w:r>
      <w:r>
        <w:rPr>
          <w:rFonts w:ascii="Times New Roman"/>
        </w:rPr>
        <w:t>排放因子优先采用供热单位的实测值</w:t>
      </w:r>
      <w:r>
        <w:rPr>
          <w:rFonts w:hint="eastAsia" w:ascii="Times New Roman"/>
        </w:rPr>
        <w:t>；</w:t>
      </w:r>
      <w:r>
        <w:rPr>
          <w:rFonts w:hint="eastAsia"/>
          <w:szCs w:val="21"/>
        </w:rPr>
        <w:t>若无实测值</w:t>
      </w:r>
      <w:r>
        <w:rPr>
          <w:rFonts w:hint="eastAsia" w:ascii="Times New Roman"/>
        </w:rPr>
        <w:t>，可采用</w:t>
      </w:r>
      <w:r>
        <w:rPr>
          <w:rFonts w:ascii="Times New Roman"/>
        </w:rPr>
        <w:t>0.11 tCO</w:t>
      </w:r>
      <w:r>
        <w:rPr>
          <w:rFonts w:ascii="Times New Roman"/>
          <w:vertAlign w:val="subscript"/>
        </w:rPr>
        <w:t>2</w:t>
      </w:r>
      <w:r>
        <w:rPr>
          <w:rFonts w:ascii="Times New Roman"/>
        </w:rPr>
        <w:t>/GJ</w:t>
      </w:r>
      <w:r>
        <w:rPr>
          <w:rFonts w:hint="eastAsia" w:ascii="Times New Roman"/>
        </w:rPr>
        <w:t>。</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21" w:name="_Toc30180"/>
      <w:r>
        <w:rPr>
          <w:rFonts w:hint="eastAsia" w:ascii="黑体" w:eastAsia="黑体"/>
          <w:kern w:val="0"/>
          <w:sz w:val="21"/>
          <w:szCs w:val="21"/>
          <w:lang w:val="en-US" w:eastAsia="zh-CN"/>
        </w:rPr>
        <w:t>温室气体排放总量</w:t>
      </w:r>
      <w:bookmarkEnd w:id="21"/>
    </w:p>
    <w:p>
      <w:pPr>
        <w:pStyle w:val="44"/>
        <w:ind w:firstLine="420"/>
        <w:rPr>
          <w:rFonts w:ascii="Times New Roman"/>
        </w:rPr>
      </w:pPr>
      <w:r>
        <w:rPr>
          <w:rFonts w:hint="eastAsia" w:ascii="Times New Roman"/>
          <w:lang w:eastAsia="zh-CN"/>
        </w:rPr>
        <w:t>建筑石膏生产企业</w:t>
      </w:r>
      <w:r>
        <w:rPr>
          <w:rFonts w:hint="eastAsia" w:ascii="Times New Roman"/>
        </w:rPr>
        <w:t>温室气体</w:t>
      </w:r>
      <w:r>
        <w:rPr>
          <w:rFonts w:ascii="Times New Roman"/>
        </w:rPr>
        <w:t>排放总量等于</w:t>
      </w:r>
      <w:r>
        <w:rPr>
          <w:rFonts w:hint="eastAsia" w:ascii="Times New Roman"/>
        </w:rPr>
        <w:t>核算</w:t>
      </w:r>
      <w:r>
        <w:rPr>
          <w:rFonts w:ascii="Times New Roman"/>
        </w:rPr>
        <w:t>边界内</w:t>
      </w:r>
      <w:r>
        <w:rPr>
          <w:rFonts w:hint="eastAsia" w:ascii="Times New Roman"/>
        </w:rPr>
        <w:t>所有</w:t>
      </w:r>
      <w:r>
        <w:rPr>
          <w:rFonts w:ascii="Times New Roman"/>
        </w:rPr>
        <w:t>的</w:t>
      </w:r>
      <w:r>
        <w:rPr>
          <w:rFonts w:hint="eastAsia" w:ascii="Times New Roman"/>
        </w:rPr>
        <w:t>化石</w:t>
      </w:r>
      <w:r>
        <w:rPr>
          <w:rFonts w:ascii="Times New Roman"/>
        </w:rPr>
        <w:t>燃料燃烧排放量、</w:t>
      </w:r>
      <w:r>
        <w:rPr>
          <w:rFonts w:hint="eastAsia" w:ascii="Times New Roman"/>
        </w:rPr>
        <w:t>净</w:t>
      </w:r>
      <w:r>
        <w:rPr>
          <w:rFonts w:ascii="Times New Roman"/>
        </w:rPr>
        <w:t>购入</w:t>
      </w:r>
      <w:r>
        <w:rPr>
          <w:rFonts w:hint="eastAsia" w:ascii="Times New Roman"/>
        </w:rPr>
        <w:t>使用</w:t>
      </w:r>
      <w:r>
        <w:rPr>
          <w:rFonts w:ascii="Times New Roman"/>
        </w:rPr>
        <w:t>电力和热力产生的排放量之和，按</w:t>
      </w:r>
      <w:r>
        <w:rPr>
          <w:rFonts w:hint="eastAsia" w:ascii="Times New Roman"/>
          <w:lang w:eastAsia="zh-CN"/>
        </w:rPr>
        <w:t>公式（</w:t>
      </w:r>
      <w:r>
        <w:rPr>
          <w:rFonts w:hint="eastAsia" w:ascii="Times New Roman"/>
          <w:lang w:val="en-US" w:eastAsia="zh-CN"/>
        </w:rPr>
        <w:t>8</w:t>
      </w:r>
      <w:r>
        <w:rPr>
          <w:rFonts w:ascii="Times New Roman"/>
        </w:rPr>
        <w:t>）计算：</w:t>
      </w:r>
    </w:p>
    <w:p>
      <w:pPr>
        <w:pStyle w:val="50"/>
        <w:rPr>
          <w:rFonts w:ascii="Times New Roman" w:hAnsi="Times New Roman"/>
        </w:rPr>
      </w:pPr>
      <w:r>
        <w:rPr>
          <w:rFonts w:ascii="Times New Roman" w:hAnsi="Times New Roman"/>
        </w:rPr>
        <w:tab/>
      </w:r>
      <m:oMath>
        <m:r>
          <m:rPr/>
          <w:rPr>
            <w:rFonts w:ascii="Cambria Math" w:hAnsi="Cambria Math"/>
          </w:rPr>
          <m:t>E=</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rPr>
              <m:t>燃烧</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rPr>
              <m:t>电</m:t>
            </m:r>
            <m:ctrlPr>
              <w:rPr>
                <w:rFonts w:ascii="Cambria Math" w:hAnsi="Cambria Math"/>
                <w:i/>
                <w:iCs/>
              </w:rPr>
            </m:ctrlPr>
          </m:sub>
        </m:sSub>
        <m:r>
          <m:rPr/>
          <w:rPr>
            <w:rFonts w:ascii="Cambria Math" w:hAnsi="Cambria Math"/>
          </w:rPr>
          <m:t>+</m:t>
        </m:r>
        <m:sSub>
          <m:sSubPr>
            <m:ctrlPr>
              <w:rPr>
                <w:rFonts w:ascii="Cambria Math" w:hAnsi="Cambria Math"/>
                <w:i/>
                <w:iCs/>
              </w:rPr>
            </m:ctrlPr>
          </m:sSubPr>
          <m:e>
            <m:r>
              <m:rPr/>
              <w:rPr>
                <w:rFonts w:ascii="Cambria Math" w:hAnsi="Cambria Math"/>
              </w:rPr>
              <m:t>E</m:t>
            </m:r>
            <m:ctrlPr>
              <w:rPr>
                <w:rFonts w:ascii="Cambria Math" w:hAnsi="Cambria Math"/>
                <w:i/>
                <w:iCs/>
              </w:rPr>
            </m:ctrlPr>
          </m:e>
          <m:sub>
            <m:r>
              <m:rPr/>
              <w:rPr>
                <w:rFonts w:hint="eastAsia" w:ascii="Cambria Math" w:hAnsi="Cambria Math"/>
              </w:rPr>
              <m:t>热</m:t>
            </m:r>
            <m:ctrlPr>
              <w:rPr>
                <w:rFonts w:ascii="Cambria Math" w:hAnsi="Cambria Math"/>
                <w:i/>
                <w:iCs/>
              </w:rPr>
            </m:ctrlPr>
          </m:sub>
        </m:sSub>
      </m:oMath>
      <w:r>
        <w:rPr>
          <w:rFonts w:ascii="Times New Roman" w:hAnsi="Times New Roman" w:eastAsia="微软雅黑"/>
        </w:rPr>
        <w:tab/>
      </w:r>
      <w:r>
        <w:rPr>
          <w:rFonts w:hint="eastAsia" w:ascii="Times New Roman" w:hAnsi="Times New Roman"/>
        </w:rPr>
        <w:t>（</w:t>
      </w:r>
      <w:r>
        <w:rPr>
          <w:rFonts w:hint="eastAsia" w:ascii="Times New Roman" w:hAnsi="Times New Roman"/>
          <w:lang w:val="en-US" w:eastAsia="zh-CN"/>
        </w:rPr>
        <w:t>8</w:t>
      </w:r>
      <w:r>
        <w:rPr>
          <w:rFonts w:hint="eastAsia" w:ascii="Times New Roman" w:hAnsi="Times New Roman"/>
        </w:rPr>
        <w:t>）</w:t>
      </w:r>
    </w:p>
    <w:p>
      <w:pPr>
        <w:pStyle w:val="51"/>
        <w:ind w:firstLine="420"/>
        <w:rPr>
          <w:rFonts w:ascii="Times New Roman" w:hAnsi="Times New Roman"/>
        </w:rPr>
      </w:pPr>
      <w:r>
        <w:rPr>
          <w:rFonts w:ascii="Times New Roman" w:hAnsi="Times New Roman"/>
        </w:rPr>
        <w:t>式中：</w:t>
      </w:r>
    </w:p>
    <w:tbl>
      <w:tblPr>
        <w:tblStyle w:val="12"/>
        <w:tblW w:w="4999" w:type="pct"/>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48"/>
        <w:gridCol w:w="329"/>
        <w:gridCol w:w="8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jc w:val="right"/>
        </w:trPr>
        <w:tc>
          <w:tcPr>
            <w:tcW w:w="154" w:type="pct"/>
          </w:tcPr>
          <w:p>
            <w:pPr>
              <w:pStyle w:val="44"/>
              <w:widowControl w:val="0"/>
              <w:adjustRightInd w:val="0"/>
              <w:snapToGrid w:val="0"/>
              <w:ind w:firstLine="0" w:firstLineChars="0"/>
              <w:rPr>
                <w:rFonts w:ascii="Times New Roman"/>
              </w:rPr>
            </w:pPr>
            <m:oMathPara>
              <m:oMathParaPr>
                <m:jc m:val="left"/>
              </m:oMathParaPr>
              <m:oMath>
                <m:r>
                  <m:rPr/>
                  <w:rPr>
                    <w:rFonts w:ascii="Cambria Math" w:hAnsi="Cambria Math"/>
                  </w:rPr>
                  <m:t>E</m:t>
                </m:r>
              </m:oMath>
            </m:oMathPara>
          </w:p>
        </w:tc>
        <w:tc>
          <w:tcPr>
            <w:tcW w:w="186" w:type="pct"/>
          </w:tcPr>
          <w:p>
            <w:pPr>
              <w:pStyle w:val="44"/>
              <w:widowControl w:val="0"/>
              <w:adjustRightInd w:val="0"/>
              <w:snapToGrid w:val="0"/>
              <w:ind w:left="-120" w:leftChars="-50" w:right="-120" w:rightChars="-50" w:firstLine="0" w:firstLineChars="0"/>
              <w:jc w:val="center"/>
              <w:rPr>
                <w:rFonts w:ascii="Times New Roman"/>
              </w:rPr>
            </w:pPr>
            <w:r>
              <w:rPr>
                <w:rFonts w:ascii="Times New Roman"/>
              </w:rPr>
              <w:t>—</w:t>
            </w:r>
          </w:p>
        </w:tc>
        <w:tc>
          <w:tcPr>
            <w:tcW w:w="4659" w:type="pct"/>
          </w:tcPr>
          <w:p>
            <w:pPr>
              <w:pStyle w:val="44"/>
              <w:widowControl w:val="0"/>
              <w:adjustRightInd w:val="0"/>
              <w:snapToGrid w:val="0"/>
              <w:ind w:left="-120" w:leftChars="-50" w:firstLine="0" w:firstLineChars="0"/>
              <w:rPr>
                <w:rFonts w:hint="eastAsia" w:ascii="Times New Roman" w:eastAsia="宋体"/>
                <w:lang w:eastAsia="zh-CN"/>
              </w:rPr>
            </w:pPr>
            <w:r>
              <w:rPr>
                <w:rFonts w:hint="eastAsia" w:ascii="Times New Roman"/>
              </w:rPr>
              <w:t>企业</w:t>
            </w:r>
            <w:r>
              <w:rPr>
                <w:rFonts w:ascii="Times New Roman"/>
              </w:rPr>
              <w:t>温室气体排放总量，</w:t>
            </w:r>
            <w:r>
              <w:rPr>
                <w:rFonts w:hint="eastAsia" w:ascii="Times New Roman"/>
              </w:rPr>
              <w:t>以</w:t>
            </w:r>
            <w:r>
              <w:rPr>
                <w:rFonts w:ascii="Times New Roman"/>
              </w:rPr>
              <w:t>吨二氧化碳（tCO</w:t>
            </w:r>
            <w:r>
              <w:rPr>
                <w:rFonts w:ascii="Times New Roman"/>
                <w:vertAlign w:val="subscript"/>
              </w:rPr>
              <w:t>2</w:t>
            </w:r>
            <w:r>
              <w:rPr>
                <w:rFonts w:ascii="Times New Roman"/>
              </w:rPr>
              <w:t>）</w:t>
            </w:r>
            <w:r>
              <w:rPr>
                <w:rFonts w:hint="eastAsia" w:ascii="Times New Roman"/>
              </w:rPr>
              <w:t>计</w:t>
            </w:r>
            <w:r>
              <w:rPr>
                <w:rFonts w:hint="eastAsia" w:ascii="Times New Roman"/>
                <w:lang w:eastAsia="zh-CN"/>
              </w:rPr>
              <w:t>。</w:t>
            </w:r>
          </w:p>
        </w:tc>
      </w:tr>
    </w:tbl>
    <w:p>
      <w:pPr>
        <w:pStyle w:val="20"/>
        <w:rPr>
          <w:rFonts w:hint="eastAsia" w:hAnsi="Times New Roman" w:cs="Times New Roman"/>
          <w:color w:val="000000"/>
          <w:lang w:val="en-US" w:eastAsia="zh-CN"/>
        </w:rPr>
      </w:pPr>
      <w:r>
        <w:rPr>
          <w:rFonts w:hint="eastAsia" w:hAnsi="Times New Roman" w:cs="Times New Roman"/>
          <w:color w:val="000000"/>
          <w:lang w:val="en-US" w:eastAsia="zh-CN"/>
        </w:rPr>
        <w:t xml:space="preserve">数据质量管理 </w:t>
      </w:r>
    </w:p>
    <w:p>
      <w:pPr>
        <w:pStyle w:val="44"/>
        <w:ind w:firstLine="420"/>
        <w:rPr>
          <w:rFonts w:ascii="Times New Roman"/>
        </w:rPr>
      </w:pPr>
      <w:r>
        <w:rPr>
          <w:rFonts w:ascii="Times New Roman"/>
        </w:rPr>
        <w:t>报告主体宜加强</w:t>
      </w:r>
      <w:r>
        <w:rPr>
          <w:rFonts w:hint="eastAsia" w:ascii="Times New Roman"/>
        </w:rPr>
        <w:t>温室气体排放</w:t>
      </w:r>
      <w:r>
        <w:rPr>
          <w:rFonts w:ascii="Times New Roman"/>
        </w:rPr>
        <w:t>数据质量管理工作，包括但不限于：</w:t>
      </w:r>
    </w:p>
    <w:p>
      <w:pPr>
        <w:pStyle w:val="55"/>
        <w:numPr>
          <w:ilvl w:val="0"/>
          <w:numId w:val="11"/>
        </w:numPr>
        <w:rPr>
          <w:rFonts w:ascii="Times New Roman"/>
        </w:rPr>
      </w:pPr>
      <w:r>
        <w:rPr>
          <w:rFonts w:hint="eastAsia" w:ascii="Times New Roman"/>
        </w:rPr>
        <w:t>建立企业温室气体排放核算和报告的规章制度，包括负责机构和人员、工作流程和内容、工作周期和时间节点等；指定专职人员负责企业温室气体排放核算和报告工作；</w:t>
      </w:r>
    </w:p>
    <w:p>
      <w:pPr>
        <w:pStyle w:val="55"/>
        <w:numPr>
          <w:ilvl w:val="0"/>
          <w:numId w:val="11"/>
        </w:numPr>
        <w:rPr>
          <w:rFonts w:ascii="Times New Roman"/>
        </w:rPr>
      </w:pPr>
      <w:r>
        <w:rPr>
          <w:rFonts w:hint="eastAsia" w:ascii="Times New Roman"/>
        </w:rPr>
        <w:t>根据各种类型的温室气体排放源的重要程度对其进行等级划分，并建立企业温室气体排放源一览表，对于不同等级的排放源的活动数据和排放因子数据的获取提出相应的要求；</w:t>
      </w:r>
    </w:p>
    <w:p>
      <w:pPr>
        <w:pStyle w:val="55"/>
        <w:numPr>
          <w:ilvl w:val="0"/>
          <w:numId w:val="11"/>
        </w:numPr>
        <w:rPr>
          <w:rFonts w:ascii="Times New Roman"/>
        </w:rPr>
      </w:pPr>
      <w:r>
        <w:rPr>
          <w:rFonts w:hint="eastAsia" w:ascii="Times New Roman"/>
        </w:rPr>
        <w:t>对现有监测条件进行评估，并参照附录C的模板制定相应的数据质量控制计划，包括对活动数据的监测和对燃料低位发热量等参数的监测及获取要求；定期对计量器具、检测设备和在线监测仪表进行维护管理，并记录存档；</w:t>
      </w:r>
    </w:p>
    <w:p>
      <w:pPr>
        <w:pStyle w:val="55"/>
        <w:numPr>
          <w:ilvl w:val="0"/>
          <w:numId w:val="11"/>
        </w:numPr>
      </w:pPr>
      <w:r>
        <w:rPr>
          <w:rFonts w:hint="eastAsia" w:ascii="Times New Roman"/>
        </w:rPr>
        <w:t>建立健全温室气体排放数据记录管理体系，包括数据来源，数据获取时间以及相关责任人等信息的记录管理；</w:t>
      </w:r>
    </w:p>
    <w:p>
      <w:pPr>
        <w:pStyle w:val="55"/>
        <w:numPr>
          <w:ilvl w:val="0"/>
          <w:numId w:val="11"/>
        </w:numPr>
      </w:pPr>
      <w:r>
        <w:rPr>
          <w:rFonts w:hint="eastAsia" w:ascii="Times New Roman"/>
        </w:rPr>
        <w:t>建立企业温室气体排放报告内部审核制度。定期对温室气体排放数据进行交叉校验，对可能产生的数据误差风险进行识别，并提出相应的解决方案</w:t>
      </w:r>
      <w:r>
        <w:rPr>
          <w:rFonts w:ascii="Times New Roman"/>
        </w:rPr>
        <w:t>。</w:t>
      </w:r>
      <w:r>
        <w:rPr>
          <w:rFonts w:hint="eastAsia" w:ascii="宋体" w:hAnsi="宋体" w:eastAsia="宋体" w:cs="宋体"/>
          <w:color w:val="000000"/>
          <w:kern w:val="0"/>
          <w:sz w:val="21"/>
          <w:szCs w:val="21"/>
          <w:lang w:val="en-US" w:eastAsia="zh-CN" w:bidi="ar"/>
        </w:rPr>
        <w:t xml:space="preserve"> </w:t>
      </w:r>
    </w:p>
    <w:p>
      <w:pPr>
        <w:pStyle w:val="20"/>
        <w:rPr>
          <w:rFonts w:hint="eastAsia" w:hAnsi="Times New Roman" w:cs="Times New Roman"/>
          <w:color w:val="000000"/>
          <w:lang w:val="en-US" w:eastAsia="zh-CN"/>
        </w:rPr>
      </w:pPr>
      <w:bookmarkStart w:id="22" w:name="_Toc128585861"/>
      <w:bookmarkStart w:id="23" w:name="_Toc3744"/>
      <w:bookmarkStart w:id="24" w:name="_Toc128508456"/>
      <w:bookmarkStart w:id="25" w:name="_Toc128676563"/>
      <w:bookmarkStart w:id="26" w:name="_Toc128508372"/>
      <w:bookmarkStart w:id="27" w:name="_Toc128508304"/>
      <w:r>
        <w:rPr>
          <w:rFonts w:hint="eastAsia" w:hAnsi="Times New Roman" w:cs="Times New Roman"/>
          <w:color w:val="000000"/>
          <w:lang w:val="en-US" w:eastAsia="zh-CN"/>
        </w:rPr>
        <w:t>报告内容和格式</w:t>
      </w:r>
      <w:bookmarkEnd w:id="22"/>
      <w:bookmarkEnd w:id="23"/>
      <w:bookmarkEnd w:id="24"/>
      <w:bookmarkEnd w:id="25"/>
      <w:bookmarkEnd w:id="26"/>
      <w:bookmarkEnd w:id="27"/>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28" w:name="_Toc18979"/>
      <w:r>
        <w:rPr>
          <w:rFonts w:hint="eastAsia" w:ascii="黑体" w:eastAsia="黑体"/>
          <w:kern w:val="0"/>
          <w:sz w:val="21"/>
          <w:szCs w:val="21"/>
          <w:lang w:val="en-US" w:eastAsia="zh-CN"/>
        </w:rPr>
        <w:t>通则</w:t>
      </w:r>
      <w:bookmarkEnd w:id="28"/>
    </w:p>
    <w:p>
      <w:pPr>
        <w:pStyle w:val="44"/>
        <w:ind w:firstLine="420"/>
        <w:rPr>
          <w:rFonts w:ascii="Times New Roman"/>
        </w:rPr>
      </w:pPr>
      <w:r>
        <w:rPr>
          <w:rFonts w:hint="eastAsia" w:ascii="Times New Roman"/>
        </w:rPr>
        <w:t>报告内容应包括报告主体基本信息、温室气体排放量、活动数据及其来源和排放因子及其来源，报告格式参照附录</w:t>
      </w:r>
      <w:r>
        <w:rPr>
          <w:rFonts w:ascii="Times New Roman"/>
        </w:rPr>
        <w:t>A。</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29" w:name="_Toc128676565"/>
      <w:bookmarkStart w:id="30" w:name="_Toc128508306"/>
      <w:bookmarkStart w:id="31" w:name="_Toc22181"/>
      <w:bookmarkStart w:id="32" w:name="_Toc128585863"/>
      <w:bookmarkStart w:id="33" w:name="_Toc128508458"/>
      <w:bookmarkStart w:id="34" w:name="_Toc128508374"/>
      <w:r>
        <w:rPr>
          <w:rFonts w:hint="eastAsia" w:ascii="黑体" w:eastAsia="黑体"/>
          <w:kern w:val="0"/>
          <w:sz w:val="21"/>
          <w:szCs w:val="21"/>
          <w:lang w:val="en-US" w:eastAsia="zh-CN"/>
        </w:rPr>
        <w:t>报告主体基本信息</w:t>
      </w:r>
      <w:bookmarkEnd w:id="29"/>
      <w:bookmarkEnd w:id="30"/>
      <w:bookmarkEnd w:id="31"/>
      <w:bookmarkEnd w:id="32"/>
      <w:bookmarkEnd w:id="33"/>
      <w:bookmarkEnd w:id="34"/>
    </w:p>
    <w:p>
      <w:pPr>
        <w:pStyle w:val="44"/>
        <w:ind w:firstLine="420"/>
        <w:rPr>
          <w:rFonts w:ascii="Times New Roman"/>
        </w:rPr>
      </w:pPr>
      <w:r>
        <w:rPr>
          <w:rFonts w:hint="eastAsia" w:ascii="Times New Roman"/>
        </w:rPr>
        <w:t>报告主体基本信息应包括报告主体名称、单位性质、报告年度、所属行业、设计产能、排污许可证编号、统一社会信用代码、法定代表人、填报负责人和联系人信息等。</w:t>
      </w:r>
    </w:p>
    <w:p>
      <w:pPr>
        <w:pStyle w:val="44"/>
        <w:ind w:firstLine="420"/>
        <w:rPr>
          <w:rFonts w:ascii="Times New Roman"/>
        </w:rPr>
      </w:pPr>
      <w:r>
        <w:rPr>
          <w:rFonts w:hint="eastAsia" w:ascii="Times New Roman"/>
        </w:rPr>
        <w:t>报告主体基本信息还应包括核算边界、主营产品及工艺流程以及排放源识别情况的详细说明（必要时应附表和附图）</w:t>
      </w:r>
      <w:r>
        <w:rPr>
          <w:rFonts w:ascii="Times New Roman"/>
        </w:rPr>
        <w:t>。</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35" w:name="_Toc128676566"/>
      <w:bookmarkStart w:id="36" w:name="_Toc128585864"/>
      <w:bookmarkStart w:id="37" w:name="_Toc15856"/>
      <w:bookmarkStart w:id="38" w:name="_Toc128508459"/>
      <w:bookmarkStart w:id="39" w:name="_Toc128508307"/>
      <w:bookmarkStart w:id="40" w:name="_Toc128508375"/>
      <w:r>
        <w:rPr>
          <w:rFonts w:hint="eastAsia" w:ascii="黑体" w:eastAsia="黑体"/>
          <w:kern w:val="0"/>
          <w:sz w:val="21"/>
          <w:szCs w:val="21"/>
          <w:lang w:val="en-US" w:eastAsia="zh-CN"/>
        </w:rPr>
        <w:t>温室气体排放量</w:t>
      </w:r>
      <w:bookmarkEnd w:id="35"/>
      <w:bookmarkEnd w:id="36"/>
      <w:bookmarkEnd w:id="37"/>
      <w:bookmarkEnd w:id="38"/>
      <w:bookmarkEnd w:id="39"/>
      <w:bookmarkEnd w:id="40"/>
    </w:p>
    <w:p>
      <w:pPr>
        <w:pStyle w:val="44"/>
        <w:ind w:firstLine="420"/>
        <w:rPr>
          <w:rFonts w:ascii="Times New Roman"/>
        </w:rPr>
      </w:pPr>
      <w:r>
        <w:rPr>
          <w:rFonts w:hint="eastAsia" w:ascii="Times New Roman"/>
        </w:rPr>
        <w:t>报告主体应报告年度温室气体排放总量，并分别报告化石燃料燃烧排放、购入和输出的电力和热力产生的排放。</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41" w:name="_Toc128508376"/>
      <w:bookmarkStart w:id="42" w:name="_Toc128585865"/>
      <w:bookmarkStart w:id="43" w:name="_Toc128508308"/>
      <w:bookmarkStart w:id="44" w:name="_Toc17351"/>
      <w:bookmarkStart w:id="45" w:name="_Toc128676567"/>
      <w:bookmarkStart w:id="46" w:name="_Toc128508460"/>
      <w:r>
        <w:rPr>
          <w:rFonts w:hint="eastAsia" w:ascii="黑体" w:eastAsia="黑体"/>
          <w:kern w:val="0"/>
          <w:sz w:val="21"/>
          <w:szCs w:val="21"/>
          <w:lang w:val="en-US" w:eastAsia="zh-CN"/>
        </w:rPr>
        <w:t>活动数据及来源</w:t>
      </w:r>
      <w:bookmarkEnd w:id="41"/>
      <w:bookmarkEnd w:id="42"/>
      <w:bookmarkEnd w:id="43"/>
      <w:bookmarkEnd w:id="44"/>
      <w:bookmarkEnd w:id="45"/>
      <w:bookmarkEnd w:id="46"/>
    </w:p>
    <w:p>
      <w:pPr>
        <w:pStyle w:val="44"/>
        <w:ind w:firstLine="420"/>
        <w:rPr>
          <w:rFonts w:ascii="Times New Roman"/>
        </w:rPr>
      </w:pPr>
      <w:r>
        <w:rPr>
          <w:rFonts w:hint="eastAsia" w:ascii="Times New Roman"/>
        </w:rPr>
        <w:t>报告主体应报告企业在报告年度内用于工业生产所使用的各种化石燃料的消耗量和对应低位发热量、购入和输出的电力和热力，并说明这些数据的来源。</w:t>
      </w:r>
    </w:p>
    <w:p>
      <w:pPr>
        <w:pStyle w:val="44"/>
        <w:ind w:firstLine="420"/>
        <w:rPr>
          <w:rFonts w:ascii="Times New Roman"/>
        </w:rPr>
      </w:pPr>
      <w:r>
        <w:rPr>
          <w:rFonts w:hint="eastAsia" w:ascii="Times New Roman"/>
        </w:rPr>
        <w:t>报告主体如果还从事</w:t>
      </w:r>
      <w:r>
        <w:rPr>
          <w:rFonts w:hint="eastAsia" w:ascii="Times New Roman"/>
          <w:lang w:val="en-US" w:eastAsia="zh-CN"/>
        </w:rPr>
        <w:t>建筑石膏</w:t>
      </w:r>
      <w:r>
        <w:rPr>
          <w:rFonts w:hint="eastAsia" w:ascii="Times New Roman"/>
        </w:rPr>
        <w:t>制品生产以外的产品生产活动，并存在本文件未涵盖的温室气体排放环节，则应按照其他相关行业的企业温室气体排放核算与报告要求，一并报告其活动数据及来源。</w:t>
      </w:r>
    </w:p>
    <w:p>
      <w:pPr>
        <w:keepNext w:val="0"/>
        <w:keepLines w:val="0"/>
        <w:pageBreakBefore w:val="0"/>
        <w:widowControl/>
        <w:numPr>
          <w:ilvl w:val="1"/>
          <w:numId w:val="1"/>
        </w:numPr>
        <w:tabs>
          <w:tab w:val="left" w:pos="360"/>
        </w:tabs>
        <w:kinsoku/>
        <w:wordWrap/>
        <w:overflowPunct/>
        <w:topLinePunct w:val="0"/>
        <w:autoSpaceDE/>
        <w:autoSpaceDN/>
        <w:bidi w:val="0"/>
        <w:adjustRightInd/>
        <w:snapToGrid/>
        <w:spacing w:before="157" w:beforeLines="50" w:after="157" w:afterLines="50" w:line="240" w:lineRule="auto"/>
        <w:ind w:firstLine="0" w:firstLineChars="0"/>
        <w:jc w:val="left"/>
        <w:textAlignment w:val="auto"/>
        <w:outlineLvl w:val="2"/>
        <w:rPr>
          <w:rFonts w:hint="eastAsia" w:ascii="黑体" w:eastAsia="黑体"/>
          <w:kern w:val="0"/>
          <w:sz w:val="21"/>
          <w:szCs w:val="21"/>
          <w:lang w:val="en-US" w:eastAsia="zh-CN"/>
        </w:rPr>
      </w:pPr>
      <w:bookmarkStart w:id="47" w:name="_Toc128676568"/>
      <w:bookmarkStart w:id="48" w:name="_Toc128508377"/>
      <w:bookmarkStart w:id="49" w:name="_Toc128585866"/>
      <w:bookmarkStart w:id="50" w:name="_Toc128508309"/>
      <w:bookmarkStart w:id="51" w:name="_Toc6284"/>
      <w:bookmarkStart w:id="52" w:name="_Toc128508461"/>
      <w:r>
        <w:rPr>
          <w:rFonts w:hint="eastAsia" w:ascii="黑体" w:eastAsia="黑体"/>
          <w:kern w:val="0"/>
          <w:sz w:val="21"/>
          <w:szCs w:val="21"/>
          <w:lang w:val="en-US" w:eastAsia="zh-CN"/>
        </w:rPr>
        <w:t>排放因子数据及来源</w:t>
      </w:r>
      <w:bookmarkEnd w:id="47"/>
      <w:bookmarkEnd w:id="48"/>
      <w:bookmarkEnd w:id="49"/>
      <w:bookmarkEnd w:id="50"/>
      <w:bookmarkEnd w:id="51"/>
      <w:bookmarkEnd w:id="52"/>
    </w:p>
    <w:p>
      <w:pPr>
        <w:pStyle w:val="44"/>
        <w:ind w:firstLine="420"/>
        <w:rPr>
          <w:rFonts w:ascii="Times New Roman"/>
        </w:rPr>
      </w:pPr>
      <w:r>
        <w:rPr>
          <w:rFonts w:hint="eastAsia" w:ascii="Times New Roman"/>
        </w:rPr>
        <w:t>报告主体应报告企业在报告年度内下列排放因子</w:t>
      </w:r>
      <w:r>
        <w:rPr>
          <w:rFonts w:ascii="Times New Roman"/>
        </w:rPr>
        <w:t>：</w:t>
      </w:r>
    </w:p>
    <w:p>
      <w:pPr>
        <w:pStyle w:val="55"/>
        <w:numPr>
          <w:ilvl w:val="0"/>
          <w:numId w:val="12"/>
        </w:numPr>
        <w:rPr>
          <w:rFonts w:ascii="Times New Roman"/>
        </w:rPr>
      </w:pPr>
      <w:r>
        <w:rPr>
          <w:rFonts w:hint="eastAsia" w:ascii="Times New Roman"/>
        </w:rPr>
        <w:t>生产所使用的各种化石燃料的单位热值含碳量和碳氧化率数据，可选用表B.1的缺省值；</w:t>
      </w:r>
    </w:p>
    <w:p>
      <w:pPr>
        <w:pStyle w:val="55"/>
        <w:numPr>
          <w:ilvl w:val="0"/>
          <w:numId w:val="12"/>
        </w:numPr>
        <w:rPr>
          <w:rFonts w:ascii="Times New Roman"/>
        </w:rPr>
      </w:pPr>
      <w:r>
        <w:rPr>
          <w:rFonts w:hint="eastAsia" w:ascii="Times New Roman"/>
        </w:rPr>
        <w:t>电力排放因子和热力排放因子数据</w:t>
      </w:r>
      <w:r>
        <w:rPr>
          <w:rFonts w:ascii="Times New Roman"/>
        </w:rPr>
        <w:t>。</w:t>
      </w:r>
    </w:p>
    <w:p>
      <w:pPr>
        <w:pStyle w:val="44"/>
        <w:ind w:firstLine="420"/>
        <w:rPr>
          <w:rFonts w:ascii="Times New Roman"/>
        </w:rPr>
      </w:pPr>
      <w:r>
        <w:rPr>
          <w:rFonts w:hint="eastAsia" w:ascii="Times New Roman"/>
        </w:rPr>
        <w:t>报告主体如果还从事</w:t>
      </w:r>
      <w:r>
        <w:rPr>
          <w:rFonts w:hint="eastAsia" w:ascii="Times New Roman"/>
          <w:lang w:val="en-US" w:eastAsia="zh-CN"/>
        </w:rPr>
        <w:t>建筑石膏</w:t>
      </w:r>
      <w:r>
        <w:rPr>
          <w:rFonts w:hint="eastAsia" w:ascii="Times New Roman"/>
        </w:rPr>
        <w:t>制品生产以外的其他产品生产活动，并存在本文件未涵盖的温室气体排放环节，则应按照其他相关行业的企业温室气体排放核算和报告要求，一并报告其排放因子数据及来源。</w:t>
      </w:r>
    </w:p>
    <w:p>
      <w:pPr>
        <w:rPr>
          <w:rFonts w:hint="eastAsia"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br w:type="page"/>
      </w:r>
    </w:p>
    <w:p>
      <w:pPr>
        <w:keepNext w:val="0"/>
        <w:keepLines w:val="0"/>
        <w:widowControl/>
        <w:suppressLineNumbers w:val="0"/>
        <w:jc w:val="center"/>
        <w:rPr>
          <w:rFonts w:hint="eastAsia" w:ascii="黑体" w:hAnsi="宋体" w:eastAsia="黑体" w:cs="黑体"/>
          <w:color w:val="000000"/>
          <w:kern w:val="0"/>
          <w:sz w:val="21"/>
          <w:szCs w:val="21"/>
          <w:lang w:val="en-US" w:eastAsia="zh-CN" w:bidi="ar"/>
        </w:rPr>
      </w:pPr>
      <w:bookmarkStart w:id="65" w:name="_GoBack"/>
      <w:r>
        <w:rPr>
          <w:rFonts w:hint="eastAsia" w:ascii="黑体" w:hAnsi="宋体" w:eastAsia="黑体" w:cs="黑体"/>
          <w:color w:val="000000"/>
          <w:kern w:val="0"/>
          <w:sz w:val="21"/>
          <w:szCs w:val="21"/>
          <w:lang w:val="en-US" w:eastAsia="zh-CN" w:bidi="ar"/>
        </w:rPr>
        <w:t>附 录 A</w:t>
      </w:r>
    </w:p>
    <w:p>
      <w:pPr>
        <w:keepNext w:val="0"/>
        <w:keepLines w:val="0"/>
        <w:widowControl/>
        <w:suppressLineNumbers w:val="0"/>
        <w:jc w:val="center"/>
        <w:rPr>
          <w:rFonts w:hint="default"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报告核算边界图（待修改）</w:t>
      </w:r>
    </w:p>
    <w:p>
      <w:pPr>
        <w:keepNext w:val="0"/>
        <w:keepLines w:val="0"/>
        <w:widowControl/>
        <w:suppressLineNumbers w:val="0"/>
        <w:jc w:val="center"/>
        <w:rPr>
          <w:rFonts w:hint="default"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t>附录B</w:t>
      </w:r>
    </w:p>
    <w:p>
      <w:pPr>
        <w:keepNext w:val="0"/>
        <w:keepLines w:val="0"/>
        <w:widowControl/>
        <w:suppressLineNumbers w:val="0"/>
        <w:jc w:val="center"/>
      </w:pPr>
      <w:r>
        <w:rPr>
          <w:rFonts w:hint="eastAsia" w:ascii="宋体" w:hAnsi="宋体" w:eastAsia="宋体" w:cs="宋体"/>
          <w:color w:val="000000"/>
          <w:kern w:val="0"/>
          <w:sz w:val="21"/>
          <w:szCs w:val="21"/>
          <w:lang w:val="en-US" w:eastAsia="zh-CN" w:bidi="ar"/>
        </w:rPr>
        <w:t>（资料性）</w:t>
      </w:r>
    </w:p>
    <w:p>
      <w:pPr>
        <w:keepNext w:val="0"/>
        <w:keepLines w:val="0"/>
        <w:widowControl/>
        <w:suppressLineNumbers w:val="0"/>
        <w:jc w:val="center"/>
      </w:pPr>
      <w:r>
        <w:rPr>
          <w:rFonts w:hint="eastAsia" w:ascii="宋体" w:hAnsi="宋体" w:eastAsia="宋体" w:cs="宋体"/>
          <w:color w:val="000000"/>
          <w:kern w:val="0"/>
          <w:sz w:val="21"/>
          <w:szCs w:val="21"/>
          <w:lang w:val="en-US" w:eastAsia="zh-CN" w:bidi="ar"/>
        </w:rPr>
        <w:t>报告格式模板</w:t>
      </w:r>
    </w:p>
    <w:p>
      <w:pPr>
        <w:keepNext w:val="0"/>
        <w:keepLines w:val="0"/>
        <w:widowControl/>
        <w:suppressLineNumbers w:val="0"/>
        <w:jc w:val="center"/>
        <w:rPr>
          <w:rFonts w:hint="eastAsia" w:ascii="宋体" w:hAnsi="宋体" w:eastAsia="宋体" w:cs="宋体"/>
          <w:b/>
          <w:bCs/>
          <w:color w:val="000000"/>
          <w:kern w:val="0"/>
          <w:sz w:val="52"/>
          <w:szCs w:val="52"/>
          <w:lang w:val="en-US" w:eastAsia="zh-CN" w:bidi="ar"/>
        </w:rPr>
      </w:pPr>
      <w:r>
        <w:rPr>
          <w:rFonts w:ascii="新宋体" w:hAnsi="新宋体" w:eastAsia="新宋体" w:cs="新宋体"/>
          <w:b/>
          <w:bCs/>
          <w:color w:val="000000"/>
          <w:kern w:val="0"/>
          <w:sz w:val="52"/>
          <w:szCs w:val="52"/>
          <w:lang w:val="en-US" w:eastAsia="zh-CN" w:bidi="ar"/>
        </w:rPr>
        <w:t>ⅩⅩⅩ</w:t>
      </w:r>
      <w:r>
        <w:rPr>
          <w:rFonts w:hint="eastAsia" w:ascii="新宋体" w:hAnsi="新宋体" w:eastAsia="新宋体" w:cs="新宋体"/>
          <w:b/>
          <w:bCs/>
          <w:color w:val="000000"/>
          <w:kern w:val="0"/>
          <w:sz w:val="52"/>
          <w:szCs w:val="52"/>
          <w:lang w:val="en-US" w:eastAsia="zh-CN" w:bidi="ar"/>
        </w:rPr>
        <w:t>温室气体</w:t>
      </w:r>
      <w:r>
        <w:rPr>
          <w:rFonts w:hint="eastAsia" w:ascii="宋体" w:hAnsi="宋体" w:eastAsia="宋体" w:cs="宋体"/>
          <w:b/>
          <w:bCs/>
          <w:color w:val="000000"/>
          <w:kern w:val="0"/>
          <w:sz w:val="52"/>
          <w:szCs w:val="52"/>
          <w:lang w:val="en-US" w:eastAsia="zh-CN" w:bidi="ar"/>
        </w:rPr>
        <w:t>排放报告</w:t>
      </w:r>
    </w:p>
    <w:p>
      <w:pPr>
        <w:keepNext w:val="0"/>
        <w:keepLines w:val="0"/>
        <w:widowControl/>
        <w:suppressLineNumbers w:val="0"/>
        <w:jc w:val="center"/>
      </w:pPr>
      <w:r>
        <w:rPr>
          <w:rFonts w:hint="eastAsia" w:ascii="宋体" w:hAnsi="宋体" w:eastAsia="宋体" w:cs="宋体"/>
          <w:b/>
          <w:bCs/>
          <w:color w:val="000000"/>
          <w:kern w:val="0"/>
          <w:sz w:val="52"/>
          <w:szCs w:val="52"/>
          <w:lang w:val="en-US" w:eastAsia="zh-CN" w:bidi="ar"/>
        </w:rPr>
        <w:t>建筑石膏生产企业</w:t>
      </w: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p>
    <w:p>
      <w:pPr>
        <w:keepNext w:val="0"/>
        <w:keepLines w:val="0"/>
        <w:widowControl/>
        <w:suppressLineNumbers w:val="0"/>
        <w:jc w:val="left"/>
      </w:pPr>
      <w:r>
        <w:rPr>
          <w:rFonts w:hint="eastAsia" w:ascii="宋体" w:hAnsi="宋体" w:eastAsia="宋体" w:cs="宋体"/>
          <w:color w:val="000000"/>
          <w:kern w:val="0"/>
          <w:sz w:val="28"/>
          <w:szCs w:val="28"/>
          <w:lang w:val="en-US" w:eastAsia="zh-CN" w:bidi="ar"/>
        </w:rPr>
        <w:t xml:space="preserve">报告主体（盖章）： </w:t>
      </w:r>
    </w:p>
    <w:p>
      <w:pPr>
        <w:keepNext w:val="0"/>
        <w:keepLines w:val="0"/>
        <w:widowControl/>
        <w:suppressLineNumbers w:val="0"/>
        <w:jc w:val="left"/>
      </w:pPr>
      <w:r>
        <w:rPr>
          <w:rFonts w:hint="eastAsia" w:ascii="宋体" w:hAnsi="宋体" w:eastAsia="宋体" w:cs="宋体"/>
          <w:color w:val="000000"/>
          <w:kern w:val="0"/>
          <w:sz w:val="28"/>
          <w:szCs w:val="28"/>
          <w:lang w:val="en-US" w:eastAsia="zh-CN" w:bidi="ar"/>
        </w:rPr>
        <w:t xml:space="preserve">报告年度： </w:t>
      </w:r>
    </w:p>
    <w:p>
      <w:pPr>
        <w:keepNext w:val="0"/>
        <w:keepLines w:val="0"/>
        <w:widowControl/>
        <w:suppressLineNumbers w:val="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编制日期： 年 月 日</w:t>
      </w:r>
    </w:p>
    <w:p>
      <w:pPr>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br w:type="page"/>
      </w:r>
    </w:p>
    <w:p>
      <w:pPr>
        <w:keepNext w:val="0"/>
        <w:keepLines w:val="0"/>
        <w:widowControl/>
        <w:suppressLineNumbers w:val="0"/>
        <w:jc w:val="left"/>
      </w:pPr>
      <w:r>
        <w:rPr>
          <w:rFonts w:hint="eastAsia" w:ascii="宋体" w:hAnsi="宋体" w:eastAsia="宋体" w:cs="宋体"/>
          <w:b/>
          <w:bCs/>
          <w:color w:val="000000"/>
          <w:kern w:val="0"/>
          <w:sz w:val="24"/>
          <w:szCs w:val="24"/>
          <w:lang w:val="en-US" w:eastAsia="zh-CN" w:bidi="ar"/>
        </w:rPr>
        <w:t>本报告主体核算了</w:t>
      </w:r>
      <w:r>
        <w:rPr>
          <w:rFonts w:hint="eastAsia" w:ascii="宋体" w:hAnsi="宋体" w:eastAsia="宋体" w:cs="宋体"/>
          <w:b/>
          <w:bCs/>
          <w:color w:val="000000"/>
          <w:kern w:val="0"/>
          <w:sz w:val="24"/>
          <w:szCs w:val="24"/>
          <w:u w:val="single"/>
          <w:lang w:val="en-US" w:eastAsia="zh-CN" w:bidi="ar"/>
        </w:rPr>
        <w:t xml:space="preserve">        </w:t>
      </w:r>
      <w:r>
        <w:rPr>
          <w:rFonts w:hint="eastAsia" w:ascii="宋体" w:hAnsi="宋体" w:eastAsia="宋体" w:cs="宋体"/>
          <w:b/>
          <w:bCs/>
          <w:color w:val="000000"/>
          <w:kern w:val="0"/>
          <w:sz w:val="24"/>
          <w:szCs w:val="24"/>
          <w:lang w:val="en-US" w:eastAsia="zh-CN" w:bidi="ar"/>
        </w:rPr>
        <w:t xml:space="preserve">年度温室气体排放量，并填写了以下相关数据表格。现将有关情况报告如下：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一、 企业（单位）基本情况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二、 温室气体排放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三、 活动水平数据及来源说明 </w:t>
      </w:r>
    </w:p>
    <w:p>
      <w:pPr>
        <w:keepNext w:val="0"/>
        <w:keepLines w:val="0"/>
        <w:widowControl/>
        <w:suppressLineNumbers w:val="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四、 排放因子数据及来源说明</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五、其他需要说明的情况 </w:t>
      </w:r>
    </w:p>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本报告主体对本报告的真实性负责。 </w:t>
      </w:r>
    </w:p>
    <w:p>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pPr>
        <w:keepNext w:val="0"/>
        <w:keepLines w:val="0"/>
        <w:widowControl/>
        <w:suppressLineNumbers w:val="0"/>
        <w:jc w:val="righ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法定代表人或授权代表（签字）:          </w:t>
      </w:r>
    </w:p>
    <w:p>
      <w:pPr>
        <w:keepNext w:val="0"/>
        <w:keepLines w:val="0"/>
        <w:widowControl/>
        <w:suppressLineNumbers w:val="0"/>
        <w:jc w:val="right"/>
      </w:pPr>
      <w:r>
        <w:rPr>
          <w:rFonts w:hint="eastAsia" w:ascii="宋体" w:hAnsi="宋体" w:eastAsia="宋体" w:cs="宋体"/>
          <w:color w:val="000000"/>
          <w:kern w:val="0"/>
          <w:sz w:val="24"/>
          <w:szCs w:val="24"/>
          <w:lang w:val="en-US" w:eastAsia="zh-CN" w:bidi="ar"/>
        </w:rPr>
        <w:t>年   月   日</w:t>
      </w:r>
    </w:p>
    <w:p>
      <w:pPr>
        <w:rPr>
          <w:rFonts w:hint="eastAsia" w:ascii="黑体" w:hAnsi="宋体" w:eastAsia="黑体" w:cs="黑体"/>
          <w:color w:val="000000"/>
          <w:kern w:val="0"/>
          <w:sz w:val="21"/>
          <w:szCs w:val="21"/>
          <w:lang w:val="en-US" w:eastAsia="zh-CN" w:bidi="ar"/>
        </w:rPr>
      </w:pPr>
      <w:r>
        <w:rPr>
          <w:rFonts w:hint="eastAsia" w:ascii="黑体" w:hAnsi="宋体" w:eastAsia="黑体" w:cs="黑体"/>
          <w:color w:val="000000"/>
          <w:kern w:val="0"/>
          <w:sz w:val="21"/>
          <w:szCs w:val="21"/>
          <w:lang w:val="en-US" w:eastAsia="zh-CN" w:bidi="ar"/>
        </w:rPr>
        <w:br w:type="page"/>
      </w:r>
    </w:p>
    <w:p>
      <w:pPr>
        <w:pStyle w:val="56"/>
        <w:numPr>
          <w:ilvl w:val="1"/>
          <w:numId w:val="0"/>
        </w:numPr>
        <w:spacing w:before="156" w:after="156"/>
        <w:rPr>
          <w:rFonts w:ascii="Times New Roman"/>
        </w:rPr>
      </w:pPr>
      <w:r>
        <w:rPr>
          <w:rFonts w:hint="default" w:ascii="Times New Roman" w:hAnsi="Times New Roman" w:eastAsia="黑体" w:cs="Times New Roman"/>
          <w:kern w:val="21"/>
          <w:sz w:val="21"/>
          <w:lang w:val="en-US" w:eastAsia="zh-CN" w:bidi="ar-SA"/>
        </w:rPr>
        <w:t>表</w:t>
      </w:r>
      <w:r>
        <w:rPr>
          <w:rFonts w:hint="eastAsia" w:ascii="Times New Roman" w:cs="Times New Roman"/>
          <w:kern w:val="21"/>
          <w:sz w:val="21"/>
          <w:lang w:val="en-US" w:eastAsia="zh-CN" w:bidi="ar-SA"/>
        </w:rPr>
        <w:t>B</w:t>
      </w:r>
      <w:r>
        <w:rPr>
          <w:rFonts w:hint="default" w:ascii="Times New Roman" w:hAnsi="Times New Roman" w:eastAsia="黑体" w:cs="Times New Roman"/>
          <w:kern w:val="21"/>
          <w:sz w:val="21"/>
          <w:lang w:val="en-US" w:eastAsia="zh-CN" w:bidi="ar-SA"/>
        </w:rPr>
        <w:t>.1</w:t>
      </w:r>
      <w:r>
        <w:rPr>
          <w:rFonts w:ascii="Times New Roman"/>
        </w:rPr>
        <w:t>报告主体</w:t>
      </w:r>
      <w:r>
        <w:rPr>
          <w:rFonts w:ascii="Times New Roman"/>
          <w:u w:val="single"/>
        </w:rPr>
        <w:t xml:space="preserve">      </w:t>
      </w:r>
      <w:r>
        <w:rPr>
          <w:rFonts w:ascii="Times New Roman"/>
        </w:rPr>
        <w:t>年</w:t>
      </w:r>
      <w:r>
        <w:rPr>
          <w:rFonts w:hint="eastAsia" w:ascii="Times New Roman"/>
        </w:rPr>
        <w:t>温室气体</w:t>
      </w:r>
      <w:r>
        <w:rPr>
          <w:rFonts w:ascii="Times New Roman"/>
        </w:rPr>
        <w:t>排放</w:t>
      </w:r>
      <w:r>
        <w:rPr>
          <w:rFonts w:hint="eastAsia" w:ascii="Times New Roman"/>
        </w:rPr>
        <w:t>汇总</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1"/>
        <w:gridCol w:w="4357"/>
        <w:gridCol w:w="24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b/>
                <w:bCs/>
                <w:sz w:val="18"/>
                <w:szCs w:val="18"/>
              </w:rPr>
            </w:pPr>
            <w:r>
              <w:rPr>
                <w:rFonts w:hint="eastAsia" w:ascii="Times New Roman" w:hAnsi="Times New Roman"/>
                <w:b/>
                <w:bCs/>
                <w:sz w:val="18"/>
                <w:szCs w:val="18"/>
              </w:rPr>
              <w:t>排放</w:t>
            </w:r>
            <w:r>
              <w:rPr>
                <w:rFonts w:ascii="Times New Roman" w:hAnsi="Times New Roman"/>
                <w:b/>
                <w:bCs/>
                <w:sz w:val="18"/>
                <w:szCs w:val="18"/>
              </w:rPr>
              <w:t>源</w:t>
            </w:r>
            <w:r>
              <w:rPr>
                <w:rFonts w:hint="eastAsia" w:ascii="Times New Roman" w:hAnsi="Times New Roman"/>
                <w:b/>
                <w:bCs/>
                <w:sz w:val="18"/>
                <w:szCs w:val="18"/>
              </w:rPr>
              <w:t>类型</w:t>
            </w:r>
          </w:p>
        </w:tc>
        <w:tc>
          <w:tcPr>
            <w:tcW w:w="1286" w:type="pct"/>
            <w:tcBorders>
              <w:top w:val="single" w:color="auto" w:sz="4" w:space="0"/>
              <w:left w:val="single" w:color="auto" w:sz="4" w:space="0"/>
              <w:right w:val="single" w:color="auto" w:sz="4" w:space="0"/>
            </w:tcBorders>
            <w:vAlign w:val="center"/>
          </w:tcPr>
          <w:p>
            <w:pPr>
              <w:snapToGrid w:val="0"/>
              <w:spacing w:line="240" w:lineRule="auto"/>
              <w:jc w:val="center"/>
              <w:rPr>
                <w:rFonts w:ascii="Times New Roman" w:hAnsi="Times New Roman"/>
                <w:b/>
                <w:bCs/>
                <w:sz w:val="18"/>
                <w:szCs w:val="18"/>
              </w:rPr>
            </w:pPr>
            <w:r>
              <w:rPr>
                <w:rFonts w:ascii="Times New Roman" w:hAnsi="Times New Roman"/>
                <w:b/>
                <w:bCs/>
                <w:sz w:val="18"/>
                <w:szCs w:val="18"/>
              </w:rPr>
              <w:t>排放量（tCO</w:t>
            </w:r>
            <w:r>
              <w:rPr>
                <w:rFonts w:ascii="Times New Roman" w:hAnsi="Times New Roman"/>
                <w:b/>
                <w:bCs/>
                <w:sz w:val="18"/>
                <w:szCs w:val="18"/>
                <w:vertAlign w:val="subscript"/>
              </w:rPr>
              <w:t>2</w:t>
            </w:r>
            <w:r>
              <w:rPr>
                <w:rFonts w:ascii="Times New Roman" w:hAnsi="Times New Roman"/>
                <w:b/>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rPr>
            </w:pPr>
            <w:r>
              <w:rPr>
                <w:rFonts w:ascii="Times New Roman" w:hAnsi="Times New Roman"/>
                <w:sz w:val="18"/>
                <w:szCs w:val="18"/>
              </w:rPr>
              <w:t>化石燃料燃烧二氧化碳排放</w:t>
            </w:r>
          </w:p>
        </w:tc>
        <w:tc>
          <w:tcPr>
            <w:tcW w:w="1286" w:type="pct"/>
            <w:tcBorders>
              <w:left w:val="single" w:color="auto" w:sz="4" w:space="0"/>
              <w:right w:val="single" w:color="auto" w:sz="4" w:space="0"/>
            </w:tcBorders>
            <w:vAlign w:val="center"/>
          </w:tcPr>
          <w:p>
            <w:pPr>
              <w:snapToGrid w:val="0"/>
              <w:spacing w:line="240" w:lineRule="auto"/>
              <w:jc w:val="center"/>
              <w:rPr>
                <w:rFonts w:ascii="Times New Roman" w:hAnsi="Times New Roman"/>
                <w:b/>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r>
              <w:rPr>
                <w:rFonts w:hint="eastAsia" w:ascii="Times New Roman" w:hAnsi="Times New Roman"/>
                <w:sz w:val="18"/>
                <w:szCs w:val="18"/>
                <w:lang w:val="en-US" w:eastAsia="zh-CN"/>
              </w:rPr>
              <w:t>净</w:t>
            </w:r>
            <w:r>
              <w:rPr>
                <w:rFonts w:ascii="Times New Roman" w:hAnsi="Times New Roman"/>
                <w:sz w:val="18"/>
                <w:szCs w:val="18"/>
              </w:rPr>
              <w:t>购入</w:t>
            </w:r>
            <w:r>
              <w:rPr>
                <w:rFonts w:hint="eastAsia" w:ascii="Times New Roman" w:hAnsi="Times New Roman"/>
                <w:sz w:val="18"/>
                <w:szCs w:val="18"/>
                <w:lang w:val="en-US" w:eastAsia="zh-CN"/>
              </w:rPr>
              <w:t>使用</w:t>
            </w:r>
            <w:r>
              <w:rPr>
                <w:rFonts w:ascii="Times New Roman" w:hAnsi="Times New Roman"/>
                <w:sz w:val="18"/>
                <w:szCs w:val="18"/>
              </w:rPr>
              <w:t>电力产生的二氧化碳排放</w:t>
            </w:r>
          </w:p>
        </w:tc>
        <w:tc>
          <w:tcPr>
            <w:tcW w:w="1286" w:type="pct"/>
            <w:tcBorders>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13" w:type="pct"/>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r>
              <w:rPr>
                <w:rFonts w:hint="eastAsia" w:ascii="Times New Roman" w:hAnsi="Times New Roman"/>
                <w:sz w:val="18"/>
                <w:szCs w:val="18"/>
                <w:lang w:val="en-US" w:eastAsia="zh-CN"/>
              </w:rPr>
              <w:t>净</w:t>
            </w:r>
            <w:r>
              <w:rPr>
                <w:rFonts w:ascii="Times New Roman" w:hAnsi="Times New Roman"/>
                <w:sz w:val="18"/>
                <w:szCs w:val="18"/>
              </w:rPr>
              <w:t>购入</w:t>
            </w:r>
            <w:r>
              <w:rPr>
                <w:rFonts w:hint="eastAsia" w:ascii="Times New Roman" w:hAnsi="Times New Roman"/>
                <w:sz w:val="18"/>
                <w:szCs w:val="18"/>
                <w:lang w:val="en-US" w:eastAsia="zh-CN"/>
              </w:rPr>
              <w:t>使用</w:t>
            </w:r>
            <w:r>
              <w:rPr>
                <w:rFonts w:ascii="Times New Roman" w:hAnsi="Times New Roman"/>
                <w:sz w:val="18"/>
                <w:szCs w:val="18"/>
              </w:rPr>
              <w:t>热力产生的二氧化碳排放</w:t>
            </w:r>
          </w:p>
        </w:tc>
        <w:tc>
          <w:tcPr>
            <w:tcW w:w="1286" w:type="pct"/>
            <w:tcBorders>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37" w:type="pct"/>
            <w:vMerge w:val="restart"/>
            <w:tcBorders>
              <w:top w:val="single" w:color="auto" w:sz="4" w:space="0"/>
              <w:left w:val="single" w:color="auto" w:sz="4" w:space="0"/>
              <w:right w:val="single" w:color="auto" w:sz="4" w:space="0"/>
            </w:tcBorders>
            <w:vAlign w:val="center"/>
          </w:tcPr>
          <w:p>
            <w:pPr>
              <w:snapToGrid w:val="0"/>
              <w:spacing w:line="240" w:lineRule="auto"/>
              <w:jc w:val="center"/>
              <w:rPr>
                <w:rFonts w:ascii="Times New Roman" w:hAnsi="Times New Roman"/>
                <w:b/>
                <w:sz w:val="18"/>
                <w:szCs w:val="18"/>
              </w:rPr>
            </w:pPr>
            <w:r>
              <w:rPr>
                <w:rFonts w:ascii="Times New Roman" w:hAnsi="Times New Roman"/>
                <w:b/>
                <w:sz w:val="18"/>
                <w:szCs w:val="18"/>
              </w:rPr>
              <w:t>报告主体</w:t>
            </w:r>
            <w:r>
              <w:rPr>
                <w:rFonts w:hint="eastAsia" w:ascii="Times New Roman" w:hAnsi="Times New Roman"/>
                <w:b/>
                <w:sz w:val="18"/>
                <w:szCs w:val="18"/>
              </w:rPr>
              <w:t>温室气体</w:t>
            </w:r>
            <w:r>
              <w:rPr>
                <w:rFonts w:ascii="Times New Roman" w:hAnsi="Times New Roman"/>
                <w:b/>
                <w:sz w:val="18"/>
                <w:szCs w:val="18"/>
              </w:rPr>
              <w:t>排放总量</w:t>
            </w:r>
          </w:p>
        </w:tc>
        <w:tc>
          <w:tcPr>
            <w:tcW w:w="2276" w:type="pct"/>
            <w:tcBorders>
              <w:top w:val="single" w:color="auto" w:sz="4" w:space="0"/>
              <w:left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不包括</w:t>
            </w:r>
            <w:r>
              <w:rPr>
                <w:rFonts w:hint="eastAsia" w:ascii="Times New Roman" w:hAnsi="Times New Roman"/>
                <w:sz w:val="18"/>
                <w:szCs w:val="18"/>
                <w:lang w:val="en-US" w:eastAsia="zh-CN"/>
              </w:rPr>
              <w:t>净购入使用</w:t>
            </w:r>
            <w:r>
              <w:rPr>
                <w:rFonts w:ascii="Times New Roman" w:hAnsi="Times New Roman"/>
                <w:sz w:val="18"/>
                <w:szCs w:val="18"/>
              </w:rPr>
              <w:t>电力和热力</w:t>
            </w:r>
            <w:r>
              <w:rPr>
                <w:rFonts w:ascii="Times New Roman" w:hAnsi="Times New Roman"/>
                <w:color w:val="000000"/>
                <w:kern w:val="0"/>
                <w:sz w:val="18"/>
                <w:szCs w:val="18"/>
              </w:rPr>
              <w:t>产生</w:t>
            </w:r>
            <w:r>
              <w:rPr>
                <w:rFonts w:ascii="Times New Roman" w:hAnsi="Times New Roman"/>
                <w:sz w:val="18"/>
                <w:szCs w:val="18"/>
              </w:rPr>
              <w:t>的二氧化碳排放</w:t>
            </w:r>
          </w:p>
        </w:tc>
        <w:tc>
          <w:tcPr>
            <w:tcW w:w="1286" w:type="pct"/>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37" w:type="pct"/>
            <w:vMerge w:val="continue"/>
            <w:tcBorders>
              <w:left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c>
          <w:tcPr>
            <w:tcW w:w="2276" w:type="pct"/>
            <w:tcBorders>
              <w:left w:val="single" w:color="auto" w:sz="4" w:space="0"/>
              <w:right w:val="single" w:color="auto" w:sz="4" w:space="0"/>
            </w:tcBorders>
            <w:vAlign w:val="center"/>
          </w:tcPr>
          <w:p>
            <w:pPr>
              <w:snapToGrid w:val="0"/>
              <w:spacing w:line="240" w:lineRule="auto"/>
              <w:rPr>
                <w:rFonts w:ascii="Times New Roman" w:hAnsi="Times New Roman"/>
                <w:sz w:val="18"/>
                <w:szCs w:val="18"/>
              </w:rPr>
            </w:pPr>
            <w:r>
              <w:rPr>
                <w:rFonts w:ascii="Times New Roman" w:hAnsi="Times New Roman"/>
                <w:sz w:val="18"/>
                <w:szCs w:val="18"/>
              </w:rPr>
              <w:t>包括</w:t>
            </w:r>
            <w:r>
              <w:rPr>
                <w:rFonts w:hint="eastAsia" w:ascii="Times New Roman" w:hAnsi="Times New Roman"/>
                <w:sz w:val="18"/>
                <w:szCs w:val="18"/>
                <w:lang w:val="en-US" w:eastAsia="zh-CN"/>
              </w:rPr>
              <w:t>净</w:t>
            </w:r>
            <w:r>
              <w:rPr>
                <w:rFonts w:ascii="Times New Roman" w:hAnsi="Times New Roman"/>
                <w:sz w:val="18"/>
                <w:szCs w:val="18"/>
              </w:rPr>
              <w:t>购入</w:t>
            </w:r>
            <w:r>
              <w:rPr>
                <w:rFonts w:hint="eastAsia" w:ascii="Times New Roman" w:hAnsi="Times New Roman"/>
                <w:sz w:val="18"/>
                <w:szCs w:val="18"/>
                <w:lang w:val="en-US" w:eastAsia="zh-CN"/>
              </w:rPr>
              <w:t>使用</w:t>
            </w:r>
            <w:r>
              <w:rPr>
                <w:rFonts w:ascii="Times New Roman" w:hAnsi="Times New Roman"/>
                <w:sz w:val="18"/>
                <w:szCs w:val="18"/>
              </w:rPr>
              <w:t>电力和热力</w:t>
            </w:r>
            <w:r>
              <w:rPr>
                <w:rFonts w:ascii="Times New Roman" w:hAnsi="Times New Roman"/>
                <w:color w:val="000000"/>
                <w:kern w:val="0"/>
                <w:sz w:val="18"/>
                <w:szCs w:val="18"/>
              </w:rPr>
              <w:t>产生</w:t>
            </w:r>
            <w:r>
              <w:rPr>
                <w:rFonts w:ascii="Times New Roman" w:hAnsi="Times New Roman"/>
                <w:sz w:val="18"/>
                <w:szCs w:val="18"/>
              </w:rPr>
              <w:t>的二氧化碳排放</w:t>
            </w:r>
          </w:p>
        </w:tc>
        <w:tc>
          <w:tcPr>
            <w:tcW w:w="1286" w:type="pct"/>
            <w:tcBorders>
              <w:top w:val="single" w:color="auto" w:sz="4" w:space="0"/>
              <w:left w:val="single" w:color="auto" w:sz="4" w:space="0"/>
              <w:bottom w:val="single" w:color="auto" w:sz="4" w:space="0"/>
              <w:right w:val="single" w:color="auto" w:sz="4" w:space="0"/>
            </w:tcBorders>
            <w:vAlign w:val="center"/>
          </w:tcPr>
          <w:p>
            <w:pPr>
              <w:snapToGrid w:val="0"/>
              <w:spacing w:line="240" w:lineRule="auto"/>
              <w:jc w:val="center"/>
              <w:rPr>
                <w:rFonts w:ascii="Times New Roman" w:hAnsi="Times New Roman"/>
                <w:sz w:val="18"/>
                <w:szCs w:val="18"/>
              </w:rPr>
            </w:pPr>
          </w:p>
        </w:tc>
      </w:tr>
    </w:tbl>
    <w:p>
      <w:pPr>
        <w:pStyle w:val="56"/>
        <w:numPr>
          <w:ilvl w:val="1"/>
          <w:numId w:val="0"/>
        </w:numPr>
        <w:spacing w:before="156" w:after="156"/>
        <w:rPr>
          <w:rFonts w:ascii="Times New Roman"/>
        </w:rPr>
      </w:pPr>
      <w:r>
        <w:rPr>
          <w:rFonts w:hint="default" w:ascii="Times New Roman" w:hAnsi="Times New Roman" w:eastAsia="黑体" w:cs="Times New Roman"/>
          <w:kern w:val="21"/>
          <w:sz w:val="21"/>
          <w:lang w:val="en-US" w:eastAsia="zh-CN" w:bidi="ar-SA"/>
        </w:rPr>
        <w:t>表</w:t>
      </w:r>
      <w:r>
        <w:rPr>
          <w:rFonts w:hint="eastAsia" w:ascii="Times New Roman" w:cs="Times New Roman"/>
          <w:kern w:val="21"/>
          <w:sz w:val="21"/>
          <w:lang w:val="en-US" w:eastAsia="zh-CN" w:bidi="ar-SA"/>
        </w:rPr>
        <w:t>B</w:t>
      </w:r>
      <w:r>
        <w:rPr>
          <w:rFonts w:hint="default" w:ascii="Times New Roman" w:hAnsi="Times New Roman" w:eastAsia="黑体" w:cs="Times New Roman"/>
          <w:kern w:val="21"/>
          <w:sz w:val="21"/>
          <w:lang w:val="en-US" w:eastAsia="zh-CN" w:bidi="ar-SA"/>
        </w:rPr>
        <w:t>.2</w:t>
      </w:r>
      <w:r>
        <w:rPr>
          <w:rFonts w:ascii="Times New Roman"/>
        </w:rPr>
        <w:t>化石燃料燃烧的活动数据和排放因子数据一览表</w:t>
      </w:r>
    </w:p>
    <w:tbl>
      <w:tblPr>
        <w:tblStyle w:val="11"/>
        <w:tblW w:w="9360" w:type="dxa"/>
        <w:jc w:val="center"/>
        <w:tblLayout w:type="fixed"/>
        <w:tblCellMar>
          <w:top w:w="0" w:type="dxa"/>
          <w:left w:w="108" w:type="dxa"/>
          <w:bottom w:w="0" w:type="dxa"/>
          <w:right w:w="108" w:type="dxa"/>
        </w:tblCellMar>
      </w:tblPr>
      <w:tblGrid>
        <w:gridCol w:w="1413"/>
        <w:gridCol w:w="1276"/>
        <w:gridCol w:w="992"/>
        <w:gridCol w:w="1701"/>
        <w:gridCol w:w="1276"/>
        <w:gridCol w:w="1001"/>
        <w:gridCol w:w="1701"/>
      </w:tblGrid>
      <w:tr>
        <w:tblPrEx>
          <w:tblCellMar>
            <w:top w:w="0" w:type="dxa"/>
            <w:left w:w="108" w:type="dxa"/>
            <w:bottom w:w="0" w:type="dxa"/>
            <w:right w:w="108" w:type="dxa"/>
          </w:tblCellMar>
        </w:tblPrEx>
        <w:trPr>
          <w:trHeight w:val="283" w:hRule="atLeast"/>
          <w:jc w:val="center"/>
        </w:trPr>
        <w:tc>
          <w:tcPr>
            <w:tcW w:w="1413" w:type="dxa"/>
            <w:vMerge w:val="restart"/>
            <w:tcBorders>
              <w:top w:val="single" w:color="auto" w:sz="4" w:space="0"/>
              <w:left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燃料品种</w:t>
            </w:r>
          </w:p>
        </w:tc>
        <w:tc>
          <w:tcPr>
            <w:tcW w:w="1276" w:type="dxa"/>
            <w:vMerge w:val="restart"/>
            <w:tcBorders>
              <w:top w:val="single" w:color="auto" w:sz="4" w:space="0"/>
              <w:left w:val="nil"/>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消费量</w:t>
            </w:r>
          </w:p>
          <w:p>
            <w:pPr>
              <w:widowControl/>
              <w:tabs>
                <w:tab w:val="center" w:pos="4201"/>
                <w:tab w:val="right" w:leader="dot" w:pos="9298"/>
              </w:tabs>
              <w:autoSpaceDE w:val="0"/>
              <w:autoSpaceDN w:val="0"/>
              <w:snapToGrid w:val="0"/>
              <w:spacing w:line="240" w:lineRule="auto"/>
              <w:ind w:left="0" w:leftChars="0" w:firstLine="0" w:firstLineChars="0"/>
              <w:jc w:val="both"/>
              <w:rPr>
                <w:rFonts w:ascii="Times New Roman" w:hAnsi="Times New Roman"/>
                <w:color w:val="000000"/>
                <w:kern w:val="0"/>
                <w:sz w:val="18"/>
                <w:szCs w:val="18"/>
              </w:rPr>
            </w:pPr>
            <w:r>
              <w:rPr>
                <w:rFonts w:ascii="Times New Roman" w:hAnsi="Times New Roman"/>
                <w:b/>
                <w:color w:val="000000"/>
                <w:kern w:val="0"/>
                <w:sz w:val="18"/>
                <w:szCs w:val="18"/>
              </w:rPr>
              <w:t>（t或10</w:t>
            </w:r>
            <w:r>
              <w:rPr>
                <w:rFonts w:ascii="Times New Roman" w:hAnsi="Times New Roman"/>
                <w:b/>
                <w:color w:val="000000"/>
                <w:kern w:val="0"/>
                <w:sz w:val="18"/>
                <w:szCs w:val="18"/>
                <w:vertAlign w:val="superscript"/>
              </w:rPr>
              <w:t>4</w:t>
            </w:r>
            <w:r>
              <w:rPr>
                <w:rFonts w:ascii="Times New Roman" w:hAnsi="Times New Roman"/>
                <w:b/>
                <w:color w:val="000000"/>
                <w:kern w:val="0"/>
                <w:sz w:val="18"/>
                <w:szCs w:val="18"/>
              </w:rPr>
              <w:t>m</w:t>
            </w:r>
            <w:r>
              <w:rPr>
                <w:rFonts w:ascii="Times New Roman" w:hAnsi="Times New Roman"/>
                <w:b/>
                <w:color w:val="000000"/>
                <w:kern w:val="0"/>
                <w:sz w:val="18"/>
                <w:szCs w:val="18"/>
                <w:vertAlign w:val="superscript"/>
              </w:rPr>
              <w:t>3</w:t>
            </w:r>
            <w:r>
              <w:rPr>
                <w:rFonts w:ascii="Times New Roman" w:hAnsi="Times New Roman"/>
                <w:b/>
                <w:color w:val="000000"/>
                <w:kern w:val="0"/>
                <w:sz w:val="18"/>
                <w:szCs w:val="18"/>
              </w:rPr>
              <w:t>）</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vertAlign w:val="superscript"/>
              </w:rPr>
            </w:pPr>
            <w:r>
              <w:rPr>
                <w:rFonts w:ascii="Times New Roman" w:hAnsi="Times New Roman"/>
                <w:b/>
                <w:color w:val="000000"/>
                <w:kern w:val="0"/>
                <w:sz w:val="18"/>
                <w:szCs w:val="18"/>
              </w:rPr>
              <w:t>低位发热量</w:t>
            </w:r>
          </w:p>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b/>
                <w:color w:val="000000"/>
                <w:kern w:val="0"/>
                <w:sz w:val="18"/>
                <w:szCs w:val="18"/>
              </w:rPr>
              <w:t>（GJ/t或GJ/10</w:t>
            </w:r>
            <w:r>
              <w:rPr>
                <w:rFonts w:ascii="Times New Roman" w:hAnsi="Times New Roman"/>
                <w:b/>
                <w:color w:val="000000"/>
                <w:kern w:val="0"/>
                <w:sz w:val="18"/>
                <w:szCs w:val="18"/>
                <w:vertAlign w:val="superscript"/>
              </w:rPr>
              <w:t>4</w:t>
            </w:r>
            <w:r>
              <w:rPr>
                <w:rFonts w:ascii="Times New Roman" w:hAnsi="Times New Roman"/>
                <w:b/>
                <w:color w:val="000000"/>
                <w:kern w:val="0"/>
                <w:sz w:val="18"/>
                <w:szCs w:val="18"/>
              </w:rPr>
              <w:t>m</w:t>
            </w:r>
            <w:r>
              <w:rPr>
                <w:rFonts w:ascii="Times New Roman" w:hAnsi="Times New Roman"/>
                <w:b/>
                <w:color w:val="000000"/>
                <w:kern w:val="0"/>
                <w:sz w:val="18"/>
                <w:szCs w:val="18"/>
                <w:vertAlign w:val="superscript"/>
              </w:rPr>
              <w:t>3</w:t>
            </w:r>
            <w:r>
              <w:rPr>
                <w:rFonts w:ascii="Times New Roman" w:hAnsi="Times New Roman"/>
                <w:b/>
                <w:color w:val="000000"/>
                <w:kern w:val="0"/>
                <w:sz w:val="18"/>
                <w:szCs w:val="18"/>
              </w:rPr>
              <w:t>）</w:t>
            </w:r>
          </w:p>
        </w:tc>
        <w:tc>
          <w:tcPr>
            <w:tcW w:w="1276" w:type="dxa"/>
            <w:vMerge w:val="restart"/>
            <w:tcBorders>
              <w:top w:val="single" w:color="auto" w:sz="4" w:space="0"/>
              <w:left w:val="nil"/>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单位热值含碳量</w:t>
            </w:r>
          </w:p>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b/>
                <w:color w:val="000000"/>
                <w:kern w:val="0"/>
                <w:sz w:val="18"/>
                <w:szCs w:val="18"/>
              </w:rPr>
              <w:t>（tC/GJ）</w:t>
            </w:r>
          </w:p>
        </w:tc>
        <w:tc>
          <w:tcPr>
            <w:tcW w:w="2702"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b/>
                <w:color w:val="000000"/>
                <w:kern w:val="0"/>
                <w:sz w:val="18"/>
                <w:szCs w:val="18"/>
              </w:rPr>
              <w:t>碳氧化率（%）</w:t>
            </w:r>
          </w:p>
        </w:tc>
      </w:tr>
      <w:tr>
        <w:tblPrEx>
          <w:tblCellMar>
            <w:top w:w="0" w:type="dxa"/>
            <w:left w:w="108" w:type="dxa"/>
            <w:bottom w:w="0" w:type="dxa"/>
            <w:right w:w="108" w:type="dxa"/>
          </w:tblCellMar>
        </w:tblPrEx>
        <w:trPr>
          <w:trHeight w:val="283" w:hRule="atLeast"/>
          <w:jc w:val="center"/>
        </w:trPr>
        <w:tc>
          <w:tcPr>
            <w:tcW w:w="1413" w:type="dxa"/>
            <w:vMerge w:val="continue"/>
            <w:tcBorders>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276" w:type="dxa"/>
            <w:vMerge w:val="continue"/>
            <w:tcBorders>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数据</w:t>
            </w: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r>
              <w:rPr>
                <w:rFonts w:ascii="Times New Roman" w:hAnsi="Times New Roman"/>
                <w:b/>
                <w:color w:val="000000"/>
                <w:kern w:val="0"/>
                <w:sz w:val="18"/>
                <w:szCs w:val="18"/>
              </w:rPr>
              <w:t>数据来源</w:t>
            </w:r>
          </w:p>
        </w:tc>
        <w:tc>
          <w:tcPr>
            <w:tcW w:w="1276" w:type="dxa"/>
            <w:vMerge w:val="continue"/>
            <w:tcBorders>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数据</w:t>
            </w: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b/>
                <w:color w:val="000000"/>
                <w:kern w:val="0"/>
                <w:sz w:val="18"/>
                <w:szCs w:val="18"/>
              </w:rPr>
              <w:t>数据来源</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无烟煤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烟煤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褐煤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洗精煤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其它洗煤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型煤</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其他煤制品</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焦炭</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原油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燃料油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汽油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柴油</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nil"/>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nil"/>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一般煤油</w:t>
            </w:r>
          </w:p>
        </w:tc>
        <w:tc>
          <w:tcPr>
            <w:tcW w:w="1276"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nil"/>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液化天然气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液化石油气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石脑油</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焦油</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粗苯</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其它石油制品</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天然气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高炉煤气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转炉煤气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焦炉煤气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炼厂干气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其它煤气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乙炔</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丙烷</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141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其它能源品种</w:t>
            </w:r>
            <w:r>
              <w:rPr>
                <w:rFonts w:ascii="Times New Roman" w:hAnsi="Times New Roman"/>
                <w:color w:val="000000"/>
                <w:kern w:val="0"/>
                <w:sz w:val="18"/>
                <w:szCs w:val="18"/>
                <w:vertAlign w:val="superscript"/>
              </w:rPr>
              <w:t>a</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0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kern w:val="0"/>
                <w:sz w:val="18"/>
                <w:szCs w:val="18"/>
              </w:rPr>
            </w:pPr>
          </w:p>
        </w:tc>
        <w:tc>
          <w:tcPr>
            <w:tcW w:w="1701"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□实测值 □缺省值</w:t>
            </w:r>
          </w:p>
        </w:tc>
      </w:tr>
      <w:tr>
        <w:tblPrEx>
          <w:tblCellMar>
            <w:top w:w="0" w:type="dxa"/>
            <w:left w:w="108" w:type="dxa"/>
            <w:bottom w:w="0" w:type="dxa"/>
            <w:right w:w="108" w:type="dxa"/>
          </w:tblCellMar>
        </w:tblPrEx>
        <w:trPr>
          <w:trHeight w:val="283" w:hRule="atLeast"/>
          <w:jc w:val="center"/>
        </w:trPr>
        <w:tc>
          <w:tcPr>
            <w:tcW w:w="9360" w:type="dxa"/>
            <w:gridSpan w:val="7"/>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rPr>
                <w:rFonts w:ascii="Times New Roman" w:hAnsi="Times New Roman"/>
                <w:color w:val="000000"/>
                <w:kern w:val="0"/>
                <w:sz w:val="18"/>
                <w:szCs w:val="18"/>
              </w:rPr>
            </w:pPr>
            <w:r>
              <w:rPr>
                <w:rFonts w:ascii="Times New Roman" w:hAnsi="Times New Roman"/>
                <w:kern w:val="0"/>
                <w:vertAlign w:val="superscript"/>
              </w:rPr>
              <w:t>a</w:t>
            </w:r>
            <w:r>
              <w:rPr>
                <w:rFonts w:ascii="Times New Roman" w:hAnsi="Times New Roman"/>
                <w:color w:val="000000"/>
                <w:kern w:val="0"/>
                <w:sz w:val="18"/>
                <w:szCs w:val="18"/>
              </w:rPr>
              <w:t>若</w:t>
            </w:r>
            <w:r>
              <w:rPr>
                <w:rFonts w:hint="eastAsia" w:ascii="Times New Roman" w:hAnsi="Times New Roman"/>
                <w:color w:val="000000"/>
                <w:kern w:val="0"/>
                <w:sz w:val="18"/>
                <w:szCs w:val="18"/>
              </w:rPr>
              <w:t>其它能源品种的活动数据和排放因子数据</w:t>
            </w:r>
            <w:r>
              <w:rPr>
                <w:rFonts w:ascii="Times New Roman" w:hAnsi="Times New Roman"/>
                <w:color w:val="000000"/>
                <w:kern w:val="0"/>
                <w:sz w:val="18"/>
                <w:szCs w:val="18"/>
              </w:rPr>
              <w:t>存在一个以上不同来源，请自行分行一一列明。</w:t>
            </w:r>
          </w:p>
        </w:tc>
      </w:tr>
    </w:tbl>
    <w:p>
      <w:pPr>
        <w:pStyle w:val="44"/>
        <w:ind w:firstLine="420"/>
        <w:rPr>
          <w:rFonts w:ascii="Times New Roman"/>
        </w:rPr>
      </w:pPr>
    </w:p>
    <w:p>
      <w:pPr>
        <w:pStyle w:val="56"/>
        <w:numPr>
          <w:ilvl w:val="1"/>
          <w:numId w:val="0"/>
        </w:numPr>
        <w:spacing w:before="156" w:after="156"/>
        <w:rPr>
          <w:rFonts w:ascii="Times New Roman"/>
        </w:rPr>
      </w:pPr>
      <w:r>
        <w:rPr>
          <w:rFonts w:hint="default" w:ascii="Times New Roman" w:hAnsi="Times New Roman" w:eastAsia="黑体" w:cs="Times New Roman"/>
          <w:kern w:val="21"/>
          <w:sz w:val="21"/>
          <w:lang w:val="en-US" w:eastAsia="zh-CN" w:bidi="ar-SA"/>
        </w:rPr>
        <w:t>表</w:t>
      </w:r>
      <w:r>
        <w:rPr>
          <w:rFonts w:hint="eastAsia" w:ascii="Times New Roman" w:cs="Times New Roman"/>
          <w:kern w:val="21"/>
          <w:sz w:val="21"/>
          <w:lang w:val="en-US" w:eastAsia="zh-CN" w:bidi="ar-SA"/>
        </w:rPr>
        <w:t>B</w:t>
      </w:r>
      <w:r>
        <w:rPr>
          <w:rFonts w:hint="default" w:ascii="Times New Roman" w:hAnsi="Times New Roman" w:eastAsia="黑体" w:cs="Times New Roman"/>
          <w:kern w:val="21"/>
          <w:sz w:val="21"/>
          <w:lang w:val="en-US" w:eastAsia="zh-CN" w:bidi="ar-SA"/>
        </w:rPr>
        <w:t>.3</w:t>
      </w:r>
      <w:r>
        <w:rPr>
          <w:rFonts w:ascii="Times New Roman"/>
        </w:rPr>
        <w:t>购入和输出的电力对应的活动数据及排放因子数据一览表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4"/>
        <w:gridCol w:w="2628"/>
        <w:gridCol w:w="2630"/>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80"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项目</w:t>
            </w:r>
            <w:r>
              <w:rPr>
                <w:rFonts w:ascii="Times New Roman" w:hAnsi="Times New Roman"/>
                <w:kern w:val="0"/>
                <w:sz w:val="18"/>
                <w:szCs w:val="18"/>
                <w:vertAlign w:val="superscript"/>
              </w:rPr>
              <w:t>a</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电量（MWh）</w:t>
            </w: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排放因子（tCO</w:t>
            </w:r>
            <w:r>
              <w:rPr>
                <w:rFonts w:ascii="Times New Roman" w:hAnsi="Times New Roman"/>
                <w:b/>
                <w:color w:val="000000"/>
                <w:kern w:val="0"/>
                <w:sz w:val="18"/>
                <w:szCs w:val="18"/>
                <w:vertAlign w:val="subscript"/>
              </w:rPr>
              <w:t>2</w:t>
            </w:r>
            <w:r>
              <w:rPr>
                <w:rFonts w:ascii="Times New Roman" w:hAnsi="Times New Roman"/>
                <w:b/>
                <w:color w:val="000000"/>
                <w:kern w:val="0"/>
                <w:sz w:val="18"/>
                <w:szCs w:val="18"/>
              </w:rPr>
              <w:t>/MWh）</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bCs/>
                <w:kern w:val="0"/>
                <w:sz w:val="18"/>
                <w:szCs w:val="18"/>
              </w:rPr>
              <w:t>排放量（tCO</w:t>
            </w:r>
            <w:r>
              <w:rPr>
                <w:rFonts w:ascii="Times New Roman" w:hAnsi="Times New Roman"/>
                <w:b/>
                <w:bCs/>
                <w:kern w:val="0"/>
                <w:sz w:val="18"/>
                <w:szCs w:val="18"/>
                <w:vertAlign w:val="subscript"/>
              </w:rPr>
              <w:t>2</w:t>
            </w:r>
            <w:r>
              <w:rPr>
                <w:rFonts w:ascii="Times New Roman" w:hAnsi="Times New Roman"/>
                <w:b/>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80"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购入</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80"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输出</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rPr>
                <w:rFonts w:ascii="Times New Roman" w:hAnsi="Times New Roman"/>
                <w:color w:val="000000"/>
                <w:kern w:val="0"/>
                <w:sz w:val="18"/>
                <w:szCs w:val="18"/>
              </w:rPr>
            </w:pPr>
            <w:r>
              <w:rPr>
                <w:rFonts w:ascii="Times New Roman" w:hAnsi="Times New Roman"/>
                <w:kern w:val="0"/>
                <w:sz w:val="18"/>
                <w:szCs w:val="18"/>
                <w:vertAlign w:val="superscript"/>
              </w:rPr>
              <w:t>a</w:t>
            </w:r>
            <w:r>
              <w:rPr>
                <w:rFonts w:ascii="Times New Roman" w:hAnsi="Times New Roman"/>
                <w:color w:val="000000"/>
                <w:kern w:val="0"/>
                <w:sz w:val="18"/>
                <w:szCs w:val="18"/>
              </w:rPr>
              <w:t>若购入或输出的电力存在一个以上不同排放因子的电力来源，请自行分行一一列明。</w:t>
            </w:r>
          </w:p>
        </w:tc>
      </w:tr>
    </w:tbl>
    <w:p>
      <w:pPr>
        <w:pStyle w:val="44"/>
        <w:ind w:firstLine="420"/>
        <w:rPr>
          <w:rFonts w:ascii="Times New Roman"/>
        </w:rPr>
      </w:pPr>
    </w:p>
    <w:p>
      <w:pPr>
        <w:pStyle w:val="56"/>
        <w:numPr>
          <w:ilvl w:val="1"/>
          <w:numId w:val="0"/>
        </w:numPr>
        <w:spacing w:before="156" w:after="156"/>
        <w:rPr>
          <w:rFonts w:ascii="Times New Roman"/>
        </w:rPr>
      </w:pPr>
      <w:r>
        <w:rPr>
          <w:rFonts w:hint="default" w:ascii="Times New Roman" w:hAnsi="Times New Roman" w:eastAsia="黑体" w:cs="Times New Roman"/>
          <w:kern w:val="21"/>
          <w:sz w:val="21"/>
          <w:lang w:val="en-US" w:eastAsia="zh-CN" w:bidi="ar-SA"/>
        </w:rPr>
        <w:t>表</w:t>
      </w:r>
      <w:r>
        <w:rPr>
          <w:rFonts w:hint="eastAsia" w:ascii="Times New Roman" w:cs="Times New Roman"/>
          <w:kern w:val="21"/>
          <w:sz w:val="21"/>
          <w:lang w:val="en-US" w:eastAsia="zh-CN" w:bidi="ar-SA"/>
        </w:rPr>
        <w:t>B</w:t>
      </w:r>
      <w:r>
        <w:rPr>
          <w:rFonts w:hint="default" w:ascii="Times New Roman" w:hAnsi="Times New Roman" w:eastAsia="黑体" w:cs="Times New Roman"/>
          <w:kern w:val="21"/>
          <w:sz w:val="21"/>
          <w:lang w:val="en-US" w:eastAsia="zh-CN" w:bidi="ar-SA"/>
        </w:rPr>
        <w:t>.4</w:t>
      </w:r>
      <w:r>
        <w:rPr>
          <w:rFonts w:ascii="Times New Roman"/>
        </w:rPr>
        <w:t>购入和输出的热力对应的活动数据及排放因子数据一览表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2628"/>
        <w:gridCol w:w="2630"/>
        <w:gridCol w:w="2617"/>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879"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项目</w:t>
            </w:r>
            <w:r>
              <w:rPr>
                <w:rFonts w:ascii="Times New Roman" w:hAnsi="Times New Roman"/>
                <w:kern w:val="0"/>
                <w:sz w:val="18"/>
                <w:szCs w:val="18"/>
                <w:vertAlign w:val="superscript"/>
              </w:rPr>
              <w:t>a</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电量（MWh）</w:t>
            </w: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color w:val="000000"/>
                <w:kern w:val="0"/>
                <w:sz w:val="18"/>
                <w:szCs w:val="18"/>
              </w:rPr>
              <w:t>排放因子（tCO</w:t>
            </w:r>
            <w:r>
              <w:rPr>
                <w:rFonts w:ascii="Times New Roman" w:hAnsi="Times New Roman"/>
                <w:b/>
                <w:color w:val="000000"/>
                <w:kern w:val="0"/>
                <w:sz w:val="18"/>
                <w:szCs w:val="18"/>
                <w:vertAlign w:val="subscript"/>
              </w:rPr>
              <w:t>2</w:t>
            </w:r>
            <w:r>
              <w:rPr>
                <w:rFonts w:ascii="Times New Roman" w:hAnsi="Times New Roman"/>
                <w:b/>
                <w:color w:val="000000"/>
                <w:kern w:val="0"/>
                <w:sz w:val="18"/>
                <w:szCs w:val="18"/>
              </w:rPr>
              <w:t>/MWh）</w:t>
            </w:r>
          </w:p>
        </w:tc>
        <w:tc>
          <w:tcPr>
            <w:tcW w:w="1373" w:type="pct"/>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b/>
                <w:color w:val="000000"/>
                <w:kern w:val="0"/>
                <w:sz w:val="18"/>
                <w:szCs w:val="18"/>
              </w:rPr>
            </w:pPr>
            <w:r>
              <w:rPr>
                <w:rFonts w:ascii="Times New Roman" w:hAnsi="Times New Roman"/>
                <w:b/>
                <w:bCs/>
                <w:kern w:val="0"/>
                <w:sz w:val="18"/>
                <w:szCs w:val="18"/>
              </w:rPr>
              <w:t>排放量（tCO</w:t>
            </w:r>
            <w:r>
              <w:rPr>
                <w:rFonts w:ascii="Times New Roman" w:hAnsi="Times New Roman"/>
                <w:b/>
                <w:bCs/>
                <w:kern w:val="0"/>
                <w:sz w:val="18"/>
                <w:szCs w:val="18"/>
                <w:vertAlign w:val="subscript"/>
              </w:rPr>
              <w:t>2</w:t>
            </w:r>
            <w:r>
              <w:rPr>
                <w:rFonts w:ascii="Times New Roman" w:hAnsi="Times New Roman"/>
                <w:b/>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购入</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3" w:type="pct"/>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jc w:val="center"/>
        </w:trPr>
        <w:tc>
          <w:tcPr>
            <w:tcW w:w="1683" w:type="dxa"/>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jc w:val="center"/>
              <w:rPr>
                <w:rFonts w:ascii="Times New Roman" w:hAnsi="Times New Roman"/>
                <w:color w:val="000000"/>
                <w:kern w:val="0"/>
                <w:sz w:val="18"/>
                <w:szCs w:val="18"/>
              </w:rPr>
            </w:pPr>
            <w:r>
              <w:rPr>
                <w:rFonts w:ascii="Times New Roman" w:hAnsi="Times New Roman"/>
                <w:color w:val="000000"/>
                <w:kern w:val="0"/>
                <w:sz w:val="18"/>
                <w:szCs w:val="18"/>
              </w:rPr>
              <w:t>输出</w:t>
            </w:r>
          </w:p>
        </w:tc>
        <w:tc>
          <w:tcPr>
            <w:tcW w:w="1373"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4" w:type="pct"/>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c>
          <w:tcPr>
            <w:tcW w:w="1373" w:type="pct"/>
            <w:gridSpan w:val="2"/>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jc w:val="center"/>
              <w:rPr>
                <w:rFonts w:ascii="Times New Roman" w:hAnsi="Times New Roman"/>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pct"/>
          <w:trHeight w:val="309" w:hRule="atLeast"/>
          <w:jc w:val="center"/>
        </w:trPr>
        <w:tc>
          <w:tcPr>
            <w:tcW w:w="4993" w:type="pct"/>
            <w:gridSpan w:val="4"/>
            <w:tcBorders>
              <w:top w:val="single" w:color="auto" w:sz="4" w:space="0"/>
              <w:left w:val="single" w:color="auto" w:sz="4" w:space="0"/>
              <w:bottom w:val="single" w:color="auto" w:sz="4" w:space="0"/>
              <w:right w:val="single" w:color="auto" w:sz="4" w:space="0"/>
            </w:tcBorders>
            <w:vAlign w:val="center"/>
          </w:tcPr>
          <w:p>
            <w:pPr>
              <w:widowControl/>
              <w:tabs>
                <w:tab w:val="center" w:pos="4201"/>
                <w:tab w:val="right" w:leader="dot" w:pos="9298"/>
              </w:tabs>
              <w:autoSpaceDE w:val="0"/>
              <w:autoSpaceDN w:val="0"/>
              <w:snapToGrid w:val="0"/>
              <w:spacing w:line="240" w:lineRule="auto"/>
              <w:ind w:left="0" w:leftChars="0" w:firstLine="0" w:firstLineChars="0"/>
              <w:rPr>
                <w:rFonts w:ascii="Times New Roman" w:hAnsi="Times New Roman"/>
                <w:color w:val="000000"/>
                <w:kern w:val="0"/>
                <w:sz w:val="18"/>
                <w:szCs w:val="18"/>
              </w:rPr>
            </w:pPr>
            <w:r>
              <w:rPr>
                <w:rFonts w:ascii="Times New Roman" w:hAnsi="Times New Roman"/>
                <w:kern w:val="0"/>
                <w:sz w:val="18"/>
                <w:szCs w:val="18"/>
                <w:vertAlign w:val="superscript"/>
              </w:rPr>
              <w:t>a</w:t>
            </w:r>
            <w:r>
              <w:rPr>
                <w:rFonts w:ascii="Times New Roman" w:hAnsi="Times New Roman"/>
                <w:color w:val="000000"/>
                <w:kern w:val="0"/>
                <w:sz w:val="18"/>
                <w:szCs w:val="18"/>
              </w:rPr>
              <w:t>若购入或输出的热力存在一个以上不同排放因子的热力来源，请自行分行一一列明。</w:t>
            </w:r>
          </w:p>
        </w:tc>
      </w:tr>
    </w:tbl>
    <w:p>
      <w:pPr>
        <w:pStyle w:val="44"/>
        <w:ind w:firstLine="420"/>
        <w:rPr>
          <w:rFonts w:ascii="Times New Roman"/>
        </w:rPr>
        <w:sectPr>
          <w:footerReference r:id="rId10" w:type="default"/>
          <w:pgSz w:w="11906" w:h="16838"/>
          <w:pgMar w:top="2410" w:right="1134" w:bottom="1134" w:left="1134" w:header="1418" w:footer="1134" w:gutter="284"/>
          <w:cols w:space="425" w:num="1"/>
          <w:formProt w:val="0"/>
          <w:docGrid w:type="lines" w:linePitch="312" w:charSpace="0"/>
        </w:sectPr>
      </w:pPr>
    </w:p>
    <w:p>
      <w:pPr>
        <w:pStyle w:val="57"/>
        <w:rPr>
          <w:rFonts w:ascii="Times New Roman" w:hAnsi="Times New Roman"/>
          <w:vanish w:val="0"/>
        </w:rPr>
      </w:pPr>
    </w:p>
    <w:p>
      <w:pPr>
        <w:pStyle w:val="59"/>
        <w:numPr>
          <w:ilvl w:val="0"/>
          <w:numId w:val="0"/>
        </w:numPr>
        <w:spacing w:before="78" w:after="156"/>
        <w:ind w:leftChars="0"/>
        <w:jc w:val="center"/>
        <w:rPr>
          <w:rFonts w:ascii="Times New Roman"/>
        </w:rPr>
      </w:pPr>
      <w:bookmarkStart w:id="53" w:name="_Toc128676570"/>
      <w:bookmarkStart w:id="54" w:name="_Toc128585868"/>
      <w:bookmarkStart w:id="55" w:name="_Toc128508463"/>
      <w:bookmarkStart w:id="56" w:name="_Toc20265"/>
      <w:bookmarkStart w:id="57" w:name="_Toc128508379"/>
      <w:bookmarkStart w:id="58" w:name="_Toc128508311"/>
      <w:r>
        <w:rPr>
          <w:rFonts w:hint="eastAsia" w:ascii="Times New Roman"/>
          <w:lang w:val="en-US" w:eastAsia="zh-CN"/>
        </w:rPr>
        <w:t xml:space="preserve">附录C </w:t>
      </w:r>
      <w:r>
        <w:rPr>
          <w:rFonts w:ascii="Times New Roman"/>
        </w:rPr>
        <w:t>相关参数缺省值</w:t>
      </w:r>
      <w:bookmarkEnd w:id="53"/>
      <w:bookmarkEnd w:id="54"/>
      <w:bookmarkEnd w:id="55"/>
      <w:bookmarkEnd w:id="56"/>
      <w:bookmarkEnd w:id="57"/>
      <w:bookmarkEnd w:id="58"/>
    </w:p>
    <w:p>
      <w:pPr>
        <w:pStyle w:val="44"/>
        <w:ind w:firstLine="420"/>
        <w:rPr>
          <w:rFonts w:ascii="Times New Roman"/>
        </w:rPr>
      </w:pPr>
      <w:r>
        <w:rPr>
          <w:rFonts w:ascii="Times New Roman"/>
        </w:rPr>
        <w:t>常用化石燃料相关参数缺省值见表</w:t>
      </w:r>
      <w:r>
        <w:rPr>
          <w:rFonts w:hint="eastAsia" w:ascii="Times New Roman"/>
          <w:lang w:val="en-US" w:eastAsia="zh-CN"/>
        </w:rPr>
        <w:t>C</w:t>
      </w:r>
      <w:r>
        <w:rPr>
          <w:rFonts w:ascii="Times New Roman"/>
        </w:rPr>
        <w:t>.1。</w:t>
      </w:r>
    </w:p>
    <w:p>
      <w:pPr>
        <w:pStyle w:val="56"/>
        <w:numPr>
          <w:ilvl w:val="1"/>
          <w:numId w:val="0"/>
        </w:numPr>
        <w:spacing w:before="156" w:after="156"/>
        <w:rPr>
          <w:rFonts w:ascii="Times New Roman"/>
        </w:rPr>
      </w:pPr>
      <w:r>
        <w:rPr>
          <w:rFonts w:hint="default" w:ascii="Times New Roman" w:hAnsi="Times New Roman" w:eastAsia="黑体" w:cs="Times New Roman"/>
          <w:kern w:val="21"/>
          <w:sz w:val="21"/>
          <w:lang w:val="en-US" w:eastAsia="zh-CN" w:bidi="ar-SA"/>
        </w:rPr>
        <w:t>表</w:t>
      </w:r>
      <w:r>
        <w:rPr>
          <w:rFonts w:hint="eastAsia" w:ascii="Times New Roman" w:cs="Times New Roman"/>
          <w:kern w:val="21"/>
          <w:sz w:val="21"/>
          <w:lang w:val="en-US" w:eastAsia="zh-CN" w:bidi="ar-SA"/>
        </w:rPr>
        <w:t>C</w:t>
      </w:r>
      <w:r>
        <w:rPr>
          <w:rFonts w:hint="default" w:ascii="Times New Roman" w:hAnsi="Times New Roman" w:eastAsia="黑体" w:cs="Times New Roman"/>
          <w:kern w:val="21"/>
          <w:sz w:val="21"/>
          <w:lang w:val="en-US" w:eastAsia="zh-CN" w:bidi="ar-SA"/>
        </w:rPr>
        <w:t>.5</w:t>
      </w:r>
      <w:r>
        <w:rPr>
          <w:rFonts w:ascii="Times New Roman"/>
        </w:rPr>
        <w:t>常用化石燃料相关参数缺省值</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6"/>
        <w:gridCol w:w="1888"/>
        <w:gridCol w:w="1172"/>
        <w:gridCol w:w="2218"/>
        <w:gridCol w:w="1691"/>
        <w:gridCol w:w="14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972" w:type="dxa"/>
            <w:gridSpan w:val="2"/>
            <w:shd w:val="clear" w:color="000000" w:fill="auto"/>
            <w:noWrap/>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b/>
                <w:color w:val="000000"/>
                <w:kern w:val="0"/>
                <w:sz w:val="18"/>
                <w:szCs w:val="18"/>
              </w:rPr>
            </w:pPr>
            <w:r>
              <w:rPr>
                <w:rFonts w:ascii="Times New Roman" w:hAnsi="Times New Roman"/>
                <w:b/>
                <w:color w:val="000000"/>
                <w:kern w:val="0"/>
                <w:sz w:val="18"/>
                <w:szCs w:val="18"/>
              </w:rPr>
              <w:t>燃料品种</w:t>
            </w:r>
          </w:p>
        </w:tc>
        <w:tc>
          <w:tcPr>
            <w:tcW w:w="1144" w:type="dxa"/>
            <w:shd w:val="clear" w:color="000000"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b/>
                <w:color w:val="000000"/>
                <w:kern w:val="0"/>
                <w:sz w:val="18"/>
                <w:szCs w:val="18"/>
              </w:rPr>
            </w:pPr>
            <w:r>
              <w:rPr>
                <w:rFonts w:ascii="Times New Roman" w:hAnsi="Times New Roman"/>
                <w:b/>
                <w:color w:val="000000"/>
                <w:kern w:val="0"/>
                <w:sz w:val="18"/>
                <w:szCs w:val="18"/>
              </w:rPr>
              <w:t>计量单位</w:t>
            </w:r>
          </w:p>
        </w:tc>
        <w:tc>
          <w:tcPr>
            <w:tcW w:w="2166" w:type="dxa"/>
            <w:shd w:val="clear" w:color="000000"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b/>
                <w:sz w:val="18"/>
                <w:szCs w:val="18"/>
              </w:rPr>
            </w:pPr>
            <w:r>
              <w:rPr>
                <w:rFonts w:ascii="Times New Roman" w:hAnsi="Times New Roman"/>
                <w:b/>
                <w:color w:val="000000"/>
                <w:kern w:val="0"/>
                <w:sz w:val="18"/>
                <w:szCs w:val="18"/>
              </w:rPr>
              <w:t>低位发热量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b/>
                <w:color w:val="000000"/>
                <w:kern w:val="0"/>
                <w:sz w:val="18"/>
                <w:szCs w:val="18"/>
              </w:rPr>
            </w:pPr>
            <w:r>
              <w:rPr>
                <w:rFonts w:ascii="Times New Roman" w:hAnsi="Times New Roman"/>
                <w:b/>
                <w:sz w:val="18"/>
                <w:szCs w:val="18"/>
              </w:rPr>
              <w:t>（GJ/t，GJ/×10</w:t>
            </w:r>
            <w:r>
              <w:rPr>
                <w:rFonts w:ascii="Times New Roman" w:hAnsi="Times New Roman"/>
                <w:b/>
                <w:sz w:val="18"/>
                <w:szCs w:val="18"/>
                <w:vertAlign w:val="superscript"/>
              </w:rPr>
              <w:t>4</w:t>
            </w:r>
            <w:r>
              <w:rPr>
                <w:rFonts w:ascii="Times New Roman" w:hAnsi="Times New Roman"/>
                <w:b/>
                <w:sz w:val="18"/>
                <w:szCs w:val="18"/>
              </w:rPr>
              <w:t>Nm</w:t>
            </w:r>
            <w:r>
              <w:rPr>
                <w:rFonts w:ascii="Times New Roman" w:hAnsi="Times New Roman"/>
                <w:b/>
                <w:sz w:val="18"/>
                <w:szCs w:val="18"/>
                <w:vertAlign w:val="superscript"/>
              </w:rPr>
              <w:t>3</w:t>
            </w:r>
            <w:r>
              <w:rPr>
                <w:rFonts w:ascii="Times New Roman" w:hAnsi="Times New Roman"/>
                <w:b/>
                <w:sz w:val="18"/>
                <w:szCs w:val="18"/>
              </w:rPr>
              <w:t>）</w:t>
            </w:r>
          </w:p>
        </w:tc>
        <w:tc>
          <w:tcPr>
            <w:tcW w:w="1651" w:type="dxa"/>
            <w:shd w:val="clear" w:color="000000" w:fill="auto"/>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b/>
                <w:color w:val="000000"/>
                <w:kern w:val="0"/>
                <w:sz w:val="18"/>
                <w:szCs w:val="18"/>
              </w:rPr>
            </w:pPr>
            <w:r>
              <w:rPr>
                <w:rFonts w:ascii="Times New Roman" w:hAnsi="Times New Roman"/>
                <w:b/>
                <w:color w:val="000000"/>
                <w:kern w:val="0"/>
                <w:sz w:val="18"/>
                <w:szCs w:val="18"/>
              </w:rPr>
              <w:t>单位热值含碳量</w:t>
            </w:r>
            <w:r>
              <w:rPr>
                <w:rFonts w:ascii="Times New Roman" w:hAnsi="Times New Roman"/>
                <w:b/>
                <w:sz w:val="18"/>
                <w:szCs w:val="18"/>
              </w:rPr>
              <w:t>（tC/GJ）</w:t>
            </w:r>
          </w:p>
        </w:tc>
        <w:tc>
          <w:tcPr>
            <w:tcW w:w="1407" w:type="dxa"/>
            <w:shd w:val="clear" w:color="000000" w:fill="auto"/>
            <w:noWrap/>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b/>
                <w:color w:val="000000"/>
                <w:kern w:val="0"/>
                <w:sz w:val="18"/>
                <w:szCs w:val="18"/>
              </w:rPr>
            </w:pPr>
            <w:r>
              <w:rPr>
                <w:rFonts w:ascii="Times New Roman" w:hAnsi="Times New Roman"/>
                <w:b/>
                <w:color w:val="000000"/>
                <w:kern w:val="0"/>
                <w:sz w:val="18"/>
                <w:szCs w:val="18"/>
              </w:rPr>
              <w:t>碳氧化率（%）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restart"/>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固体燃料</w:t>
            </w: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无烟煤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26.7</w:t>
            </w:r>
            <w:r>
              <w:rPr>
                <w:rFonts w:ascii="Times New Roman" w:hAnsi="Times New Roman"/>
                <w:sz w:val="18"/>
                <w:szCs w:val="18"/>
                <w:vertAlign w:val="superscript"/>
              </w:rPr>
              <w:t>c</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27.4</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color w:val="000000"/>
                <w:kern w:val="0"/>
                <w:sz w:val="18"/>
                <w:szCs w:val="18"/>
              </w:rPr>
            </w:pPr>
            <w:r>
              <w:rPr>
                <w:rFonts w:ascii="Times New Roman" w:hAnsi="Times New Roman"/>
                <w:color w:val="000000"/>
                <w:kern w:val="0"/>
                <w:sz w:val="18"/>
                <w:szCs w:val="18"/>
              </w:rPr>
              <w:t>94</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一般烟煤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19.570</w:t>
            </w:r>
            <w:r>
              <w:rPr>
                <w:rFonts w:ascii="Times New Roman" w:hAnsi="Times New Roman"/>
                <w:sz w:val="18"/>
                <w:szCs w:val="18"/>
                <w:vertAlign w:val="superscript"/>
              </w:rPr>
              <w:t>d</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26.1</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color w:val="000000"/>
                <w:kern w:val="0"/>
                <w:sz w:val="18"/>
                <w:szCs w:val="18"/>
              </w:rPr>
            </w:pPr>
            <w:r>
              <w:rPr>
                <w:rFonts w:ascii="Times New Roman" w:hAnsi="Times New Roman"/>
                <w:color w:val="000000"/>
                <w:kern w:val="0"/>
                <w:sz w:val="18"/>
                <w:szCs w:val="18"/>
              </w:rPr>
              <w:t>93</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烟煤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23</w:t>
            </w:r>
            <w:r>
              <w:rPr>
                <w:rFonts w:ascii="Times New Roman" w:hAnsi="Times New Roman"/>
                <w:sz w:val="18"/>
                <w:szCs w:val="18"/>
                <w:vertAlign w:val="superscript"/>
              </w:rPr>
              <w:t>f</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26.1</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color w:val="000000"/>
                <w:kern w:val="0"/>
                <w:sz w:val="18"/>
                <w:szCs w:val="18"/>
              </w:rPr>
            </w:pPr>
            <w:r>
              <w:rPr>
                <w:rFonts w:ascii="Times New Roman" w:hAnsi="Times New Roman"/>
                <w:color w:val="000000"/>
                <w:kern w:val="0"/>
                <w:sz w:val="18"/>
                <w:szCs w:val="18"/>
              </w:rPr>
              <w:t>93</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褐煤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11.9</w:t>
            </w:r>
            <w:r>
              <w:rPr>
                <w:rFonts w:ascii="Times New Roman" w:hAnsi="Times New Roman"/>
                <w:sz w:val="18"/>
                <w:szCs w:val="18"/>
                <w:vertAlign w:val="superscript"/>
              </w:rPr>
              <w:t xml:space="preserve"> c</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28</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color w:val="000000"/>
                <w:kern w:val="0"/>
                <w:sz w:val="18"/>
                <w:szCs w:val="18"/>
              </w:rPr>
            </w:pPr>
            <w:r>
              <w:rPr>
                <w:rFonts w:ascii="Times New Roman" w:hAnsi="Times New Roman"/>
                <w:color w:val="000000"/>
                <w:kern w:val="0"/>
                <w:sz w:val="18"/>
                <w:szCs w:val="18"/>
              </w:rPr>
              <w:t>96</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洗精煤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26.334</w:t>
            </w:r>
            <w:r>
              <w:rPr>
                <w:rFonts w:ascii="Times New Roman" w:hAnsi="Times New Roman"/>
                <w:sz w:val="18"/>
                <w:szCs w:val="18"/>
                <w:vertAlign w:val="superscript"/>
              </w:rPr>
              <w:t>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sz w:val="18"/>
                <w:szCs w:val="18"/>
              </w:rPr>
              <w:t>25.41</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color w:val="000000"/>
                <w:kern w:val="0"/>
                <w:sz w:val="18"/>
                <w:szCs w:val="18"/>
              </w:rPr>
            </w:pPr>
            <w:r>
              <w:rPr>
                <w:rFonts w:ascii="Times New Roman" w:hAnsi="Times New Roman"/>
                <w:color w:val="000000"/>
                <w:kern w:val="0"/>
                <w:sz w:val="18"/>
                <w:szCs w:val="18"/>
              </w:rPr>
              <w:t>90</w:t>
            </w:r>
            <w:r>
              <w:rPr>
                <w:rFonts w:ascii="Times New Roman" w:hAnsi="Times New Roman"/>
                <w:sz w:val="18"/>
                <w:szCs w:val="18"/>
                <w:vertAlign w:val="superscript"/>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其它洗煤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12.545</w:t>
            </w:r>
            <w:r>
              <w:rPr>
                <w:rFonts w:ascii="Times New Roman" w:hAnsi="Times New Roman" w:cs="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sz w:val="18"/>
                <w:szCs w:val="18"/>
              </w:rPr>
              <w:t>25.41</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color w:val="000000"/>
                <w:kern w:val="0"/>
                <w:sz w:val="18"/>
                <w:szCs w:val="18"/>
              </w:rPr>
            </w:pPr>
            <w:r>
              <w:rPr>
                <w:rFonts w:ascii="Times New Roman" w:hAnsi="Times New Roman"/>
                <w:color w:val="000000"/>
                <w:kern w:val="0"/>
                <w:sz w:val="18"/>
                <w:szCs w:val="18"/>
              </w:rPr>
              <w:t>90</w:t>
            </w:r>
            <w:r>
              <w:rPr>
                <w:rFonts w:ascii="Times New Roman" w:hAnsi="Times New Roman"/>
                <w:sz w:val="18"/>
                <w:szCs w:val="18"/>
                <w:vertAlign w:val="superscript"/>
              </w:rPr>
              <w:t xml:space="preserve"> 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型煤</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17.460</w:t>
            </w:r>
            <w:r>
              <w:rPr>
                <w:rFonts w:ascii="Times New Roman" w:hAnsi="Times New Roman" w:cs="Times New Roman"/>
                <w:sz w:val="18"/>
                <w:szCs w:val="18"/>
                <w:vertAlign w:val="superscript"/>
              </w:rPr>
              <w:t xml:space="preserve"> d</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33.6</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90</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其他煤制品</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17.460</w:t>
            </w:r>
            <w:r>
              <w:rPr>
                <w:rFonts w:ascii="Times New Roman" w:hAnsi="Times New Roman" w:cs="Times New Roman"/>
                <w:sz w:val="18"/>
                <w:szCs w:val="18"/>
                <w:vertAlign w:val="superscript"/>
              </w:rPr>
              <w:t xml:space="preserve"> d</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33.6</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焦炭</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28.435</w:t>
            </w:r>
            <w:r>
              <w:rPr>
                <w:rFonts w:ascii="Times New Roman" w:hAnsi="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29.5</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93</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石油焦</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32.5</w:t>
            </w:r>
            <w:r>
              <w:rPr>
                <w:rFonts w:ascii="Times New Roman" w:hAnsi="Times New Roman"/>
                <w:sz w:val="18"/>
                <w:szCs w:val="18"/>
                <w:vertAlign w:val="superscript"/>
              </w:rPr>
              <w:t xml:space="preserve"> c</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27.50</w:t>
            </w:r>
            <w:r>
              <w:rPr>
                <w:rFonts w:ascii="Times New Roman" w:hAnsi="Times New Roman"/>
                <w:color w:val="000000"/>
                <w:kern w:val="0"/>
                <w:sz w:val="18"/>
                <w:szCs w:val="18"/>
                <w:vertAlign w:val="superscript"/>
              </w:rPr>
              <w:t>b</w:t>
            </w:r>
            <w:r>
              <w:rPr>
                <w:rFonts w:ascii="Times New Roman" w:hAnsi="Times New Roman"/>
                <w:color w:val="000000"/>
                <w:kern w:val="0"/>
                <w:sz w:val="18"/>
                <w:szCs w:val="18"/>
              </w:rPr>
              <w:t>×10</w:t>
            </w:r>
            <w:r>
              <w:rPr>
                <w:rFonts w:ascii="Times New Roman" w:hAnsi="Times New Roman"/>
                <w:color w:val="000000"/>
                <w:kern w:val="0"/>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 xml:space="preserve">98 </w:t>
            </w:r>
            <w:r>
              <w:rPr>
                <w:rFonts w:ascii="Times New Roman" w:hAnsi="Times New Roman"/>
                <w:sz w:val="18"/>
                <w:szCs w:val="18"/>
                <w:vertAlign w:val="super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restart"/>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液体燃料</w:t>
            </w: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原油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41.816</w:t>
            </w:r>
            <w:r>
              <w:rPr>
                <w:rFonts w:ascii="Times New Roman" w:hAnsi="Times New Roman" w:cs="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20.1</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燃料油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41.816</w:t>
            </w:r>
            <w:r>
              <w:rPr>
                <w:rFonts w:ascii="Times New Roman" w:hAnsi="Times New Roman" w:cs="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21.1</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汽油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43.070</w:t>
            </w:r>
            <w:r>
              <w:rPr>
                <w:rFonts w:ascii="Times New Roman" w:hAnsi="Times New Roman" w:cs="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18.9</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柴油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42.652</w:t>
            </w:r>
            <w:r>
              <w:rPr>
                <w:rFonts w:ascii="Times New Roman" w:hAnsi="Times New Roman" w:cs="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20.2</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一般煤油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43.070</w:t>
            </w:r>
            <w:r>
              <w:rPr>
                <w:rFonts w:ascii="Times New Roman" w:hAnsi="Times New Roman"/>
                <w:sz w:val="18"/>
                <w:szCs w:val="18"/>
                <w:vertAlign w:val="superscript"/>
              </w:rPr>
              <w:t xml:space="preserve"> a</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19.6</w:t>
            </w:r>
            <w:r>
              <w:rPr>
                <w:rFonts w:ascii="Times New Roman" w:hAnsi="Times New Roman" w:cs="Times New Roman"/>
                <w:sz w:val="18"/>
                <w:szCs w:val="18"/>
                <w:vertAlign w:val="superscript"/>
              </w:rPr>
              <w:t>b</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液化天然气</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51.434</w:t>
            </w:r>
            <w:r>
              <w:rPr>
                <w:rFonts w:ascii="Times New Roman" w:hAnsi="Times New Roman" w:cs="Times New Roman"/>
                <w:sz w:val="18"/>
                <w:szCs w:val="18"/>
                <w:vertAlign w:val="superscript"/>
              </w:rPr>
              <w:t>e</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15.3</w:t>
            </w:r>
            <w:r>
              <w:rPr>
                <w:rFonts w:ascii="Times New Roman" w:hAnsi="Times New Roman" w:cs="Times New Roman"/>
                <w:sz w:val="18"/>
                <w:szCs w:val="18"/>
                <w:vertAlign w:val="superscript"/>
              </w:rPr>
              <w:t>b</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液化石油气</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50.179</w:t>
            </w:r>
            <w:r>
              <w:rPr>
                <w:rFonts w:ascii="Times New Roman" w:hAnsi="Times New Roman" w:cs="Times New Roman"/>
                <w:sz w:val="18"/>
                <w:szCs w:val="18"/>
                <w:vertAlign w:val="superscript"/>
              </w:rPr>
              <w:t xml:space="preserve"> a</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17.2</w:t>
            </w:r>
            <w:r>
              <w:rPr>
                <w:rFonts w:ascii="Times New Roman" w:hAnsi="Times New Roman" w:cs="Times New Roman"/>
                <w:sz w:val="18"/>
                <w:szCs w:val="18"/>
                <w:vertAlign w:val="superscript"/>
              </w:rPr>
              <w:t>b</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石脑油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44.5</w:t>
            </w:r>
            <w:r>
              <w:rPr>
                <w:rFonts w:ascii="Times New Roman" w:hAnsi="Times New Roman"/>
                <w:sz w:val="18"/>
                <w:szCs w:val="18"/>
                <w:vertAlign w:val="superscript"/>
              </w:rPr>
              <w:t xml:space="preserve"> c</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20.0</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焦油</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highlight w:val="yellow"/>
              </w:rPr>
            </w:pPr>
            <w:r>
              <w:rPr>
                <w:rFonts w:ascii="Times New Roman" w:hAnsi="Times New Roman"/>
                <w:sz w:val="18"/>
                <w:szCs w:val="18"/>
              </w:rPr>
              <w:t>33.453</w:t>
            </w:r>
            <w:r>
              <w:rPr>
                <w:rFonts w:ascii="Times New Roman" w:hAnsi="Times New Roman"/>
                <w:sz w:val="18"/>
                <w:szCs w:val="18"/>
                <w:vertAlign w:val="superscript"/>
              </w:rPr>
              <w:t>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highlight w:val="yellow"/>
              </w:rPr>
            </w:pPr>
            <w:r>
              <w:rPr>
                <w:rFonts w:ascii="Times New Roman" w:hAnsi="Times New Roman"/>
                <w:sz w:val="18"/>
                <w:szCs w:val="18"/>
              </w:rPr>
              <w:t>22.0</w:t>
            </w:r>
            <w:r>
              <w:rPr>
                <w:rFonts w:ascii="Times New Roman" w:hAnsi="Times New Roman"/>
                <w:sz w:val="18"/>
                <w:szCs w:val="18"/>
                <w:vertAlign w:val="superscript"/>
              </w:rPr>
              <w:t>c</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highlight w:val="yellow"/>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粗苯</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41.816</w:t>
            </w:r>
            <w:r>
              <w:rPr>
                <w:rFonts w:ascii="Times New Roman" w:hAnsi="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22.7</w:t>
            </w:r>
            <w:r>
              <w:rPr>
                <w:rFonts w:ascii="Times New Roman" w:hAnsi="Times New Roman"/>
                <w:sz w:val="18"/>
                <w:szCs w:val="18"/>
                <w:vertAlign w:val="superscript"/>
              </w:rPr>
              <w:t>d</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129" w:type="dxa"/>
            <w:vMerge w:val="continue"/>
            <w:vAlign w:val="center"/>
          </w:tcPr>
          <w:p>
            <w:pPr>
              <w:widowControl/>
              <w:snapToGrid w:val="0"/>
              <w:spacing w:line="240" w:lineRule="auto"/>
              <w:ind w:left="0" w:leftChars="0" w:firstLine="0" w:firstLineChars="0"/>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其它石油制品</w:t>
            </w:r>
          </w:p>
        </w:tc>
        <w:tc>
          <w:tcPr>
            <w:tcW w:w="1144" w:type="dxa"/>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t</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40.2</w:t>
            </w:r>
            <w:r>
              <w:rPr>
                <w:rFonts w:ascii="Times New Roman" w:hAnsi="Times New Roman"/>
                <w:sz w:val="18"/>
                <w:szCs w:val="18"/>
                <w:vertAlign w:val="superscript"/>
              </w:rPr>
              <w:t xml:space="preserve"> c</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20.0</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98</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restart"/>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气体燃料</w:t>
            </w: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天然气</w:t>
            </w:r>
          </w:p>
        </w:tc>
        <w:tc>
          <w:tcPr>
            <w:tcW w:w="1144" w:type="dxa"/>
            <w:vAlign w:val="center"/>
          </w:tcPr>
          <w:p>
            <w:pPr>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10</w:t>
            </w:r>
            <w:r>
              <w:rPr>
                <w:rFonts w:ascii="Times New Roman" w:hAnsi="Times New Roman"/>
                <w:sz w:val="18"/>
                <w:szCs w:val="18"/>
                <w:vertAlign w:val="superscript"/>
              </w:rPr>
              <w:t>4</w:t>
            </w:r>
            <w:r>
              <w:rPr>
                <w:rFonts w:ascii="Times New Roman" w:hAnsi="Times New Roman"/>
                <w:sz w:val="18"/>
                <w:szCs w:val="18"/>
              </w:rPr>
              <w:t>Nm</w:t>
            </w:r>
            <w:r>
              <w:rPr>
                <w:rFonts w:ascii="Times New Roman" w:hAnsi="Times New Roman"/>
                <w:sz w:val="18"/>
                <w:szCs w:val="18"/>
                <w:vertAlign w:val="superscript"/>
              </w:rPr>
              <w:t>3</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left="0" w:leftChars="0" w:firstLine="0" w:firstLineChars="0"/>
              <w:jc w:val="center"/>
              <w:textAlignment w:val="auto"/>
              <w:rPr>
                <w:rFonts w:ascii="Times New Roman" w:hAnsi="Times New Roman"/>
                <w:sz w:val="18"/>
                <w:szCs w:val="18"/>
              </w:rPr>
            </w:pPr>
            <w:r>
              <w:rPr>
                <w:rFonts w:ascii="Times New Roman" w:hAnsi="Times New Roman"/>
                <w:sz w:val="18"/>
                <w:szCs w:val="18"/>
              </w:rPr>
              <w:t>389.31</w:t>
            </w:r>
            <w:r>
              <w:rPr>
                <w:rFonts w:ascii="Times New Roman" w:hAnsi="Times New Roman"/>
                <w:sz w:val="18"/>
                <w:szCs w:val="18"/>
                <w:vertAlign w:val="superscript"/>
              </w:rPr>
              <w:t>a</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15.3</w:t>
            </w:r>
            <w:r>
              <w:rPr>
                <w:rFonts w:ascii="Times New Roman" w:hAnsi="Times New Roman" w:cs="Times New Roman"/>
                <w:sz w:val="18"/>
                <w:szCs w:val="18"/>
                <w:vertAlign w:val="superscript"/>
              </w:rPr>
              <w:t>b</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99</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snapToGrid w:val="0"/>
              <w:spacing w:line="240" w:lineRule="auto"/>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高炉煤气</w:t>
            </w:r>
          </w:p>
        </w:tc>
        <w:tc>
          <w:tcPr>
            <w:tcW w:w="1144" w:type="dxa"/>
            <w:vAlign w:val="center"/>
          </w:tcPr>
          <w:p>
            <w:pPr>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10</w:t>
            </w:r>
            <w:r>
              <w:rPr>
                <w:rFonts w:ascii="Times New Roman" w:hAnsi="Times New Roman"/>
                <w:sz w:val="18"/>
                <w:szCs w:val="18"/>
                <w:vertAlign w:val="superscript"/>
              </w:rPr>
              <w:t>4</w:t>
            </w:r>
            <w:r>
              <w:rPr>
                <w:rFonts w:ascii="Times New Roman" w:hAnsi="Times New Roman"/>
                <w:sz w:val="18"/>
                <w:szCs w:val="18"/>
              </w:rPr>
              <w:t>Nm</w:t>
            </w:r>
            <w:r>
              <w:rPr>
                <w:rFonts w:ascii="Times New Roman" w:hAnsi="Times New Roman"/>
                <w:sz w:val="18"/>
                <w:szCs w:val="18"/>
                <w:vertAlign w:val="superscript"/>
              </w:rPr>
              <w:t>3</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left="0" w:leftChars="0" w:firstLine="0" w:firstLineChars="0"/>
              <w:jc w:val="center"/>
              <w:textAlignment w:val="auto"/>
              <w:rPr>
                <w:rFonts w:ascii="Times New Roman" w:hAnsi="Times New Roman"/>
                <w:sz w:val="18"/>
                <w:szCs w:val="18"/>
              </w:rPr>
            </w:pPr>
            <w:r>
              <w:rPr>
                <w:rFonts w:ascii="Times New Roman" w:hAnsi="Times New Roman"/>
                <w:sz w:val="18"/>
                <w:szCs w:val="18"/>
              </w:rPr>
              <w:t>33.00</w:t>
            </w:r>
            <w:r>
              <w:rPr>
                <w:rFonts w:ascii="Times New Roman" w:hAnsi="Times New Roman"/>
                <w:sz w:val="18"/>
                <w:szCs w:val="18"/>
                <w:vertAlign w:val="superscript"/>
              </w:rPr>
              <w:t xml:space="preserve"> d</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70.80</w:t>
            </w:r>
            <w:r>
              <w:rPr>
                <w:rFonts w:ascii="Times New Roman" w:hAnsi="Times New Roman" w:cs="Times New Roman"/>
                <w:sz w:val="18"/>
                <w:szCs w:val="18"/>
                <w:vertAlign w:val="superscript"/>
              </w:rPr>
              <w:t>c</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99</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snapToGrid w:val="0"/>
              <w:spacing w:line="240" w:lineRule="auto"/>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转炉煤气</w:t>
            </w:r>
          </w:p>
        </w:tc>
        <w:tc>
          <w:tcPr>
            <w:tcW w:w="1144" w:type="dxa"/>
            <w:vAlign w:val="center"/>
          </w:tcPr>
          <w:p>
            <w:pPr>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10</w:t>
            </w:r>
            <w:r>
              <w:rPr>
                <w:rFonts w:ascii="Times New Roman" w:hAnsi="Times New Roman"/>
                <w:sz w:val="18"/>
                <w:szCs w:val="18"/>
                <w:vertAlign w:val="superscript"/>
              </w:rPr>
              <w:t>4</w:t>
            </w:r>
            <w:r>
              <w:rPr>
                <w:rFonts w:ascii="Times New Roman" w:hAnsi="Times New Roman"/>
                <w:sz w:val="18"/>
                <w:szCs w:val="18"/>
              </w:rPr>
              <w:t>Nm</w:t>
            </w:r>
            <w:r>
              <w:rPr>
                <w:rFonts w:ascii="Times New Roman" w:hAnsi="Times New Roman"/>
                <w:sz w:val="18"/>
                <w:szCs w:val="18"/>
                <w:vertAlign w:val="superscript"/>
              </w:rPr>
              <w:t>3</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left="0" w:leftChars="0" w:firstLine="0" w:firstLineChars="0"/>
              <w:jc w:val="center"/>
              <w:textAlignment w:val="auto"/>
              <w:rPr>
                <w:rFonts w:ascii="Times New Roman" w:hAnsi="Times New Roman"/>
                <w:sz w:val="18"/>
                <w:szCs w:val="18"/>
              </w:rPr>
            </w:pPr>
            <w:r>
              <w:rPr>
                <w:rFonts w:ascii="Times New Roman" w:hAnsi="Times New Roman"/>
                <w:sz w:val="18"/>
                <w:szCs w:val="18"/>
              </w:rPr>
              <w:t>84.00</w:t>
            </w:r>
            <w:r>
              <w:rPr>
                <w:rFonts w:ascii="Times New Roman" w:hAnsi="Times New Roman"/>
                <w:sz w:val="18"/>
                <w:szCs w:val="18"/>
                <w:vertAlign w:val="superscript"/>
              </w:rPr>
              <w:t xml:space="preserve"> d</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49.60</w:t>
            </w:r>
            <w:r>
              <w:rPr>
                <w:rFonts w:ascii="Times New Roman" w:hAnsi="Times New Roman" w:cs="Times New Roman"/>
                <w:sz w:val="18"/>
                <w:szCs w:val="18"/>
                <w:vertAlign w:val="superscript"/>
              </w:rPr>
              <w:t>d</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99</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widowControl/>
              <w:snapToGrid w:val="0"/>
              <w:spacing w:line="240" w:lineRule="auto"/>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焦炉煤气</w:t>
            </w:r>
          </w:p>
        </w:tc>
        <w:tc>
          <w:tcPr>
            <w:tcW w:w="1144" w:type="dxa"/>
            <w:vAlign w:val="center"/>
          </w:tcPr>
          <w:p>
            <w:pPr>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10</w:t>
            </w:r>
            <w:r>
              <w:rPr>
                <w:rFonts w:ascii="Times New Roman" w:hAnsi="Times New Roman"/>
                <w:sz w:val="18"/>
                <w:szCs w:val="18"/>
                <w:vertAlign w:val="superscript"/>
              </w:rPr>
              <w:t>4</w:t>
            </w:r>
            <w:r>
              <w:rPr>
                <w:rFonts w:ascii="Times New Roman" w:hAnsi="Times New Roman"/>
                <w:sz w:val="18"/>
                <w:szCs w:val="18"/>
              </w:rPr>
              <w:t>Nm</w:t>
            </w:r>
            <w:r>
              <w:rPr>
                <w:rFonts w:ascii="Times New Roman" w:hAnsi="Times New Roman"/>
                <w:sz w:val="18"/>
                <w:szCs w:val="18"/>
                <w:vertAlign w:val="superscript"/>
              </w:rPr>
              <w:t>3</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left="0" w:leftChars="0" w:firstLine="0" w:firstLineChars="0"/>
              <w:jc w:val="center"/>
              <w:textAlignment w:val="auto"/>
              <w:rPr>
                <w:rFonts w:ascii="Times New Roman" w:hAnsi="Times New Roman"/>
                <w:sz w:val="18"/>
                <w:szCs w:val="18"/>
              </w:rPr>
            </w:pPr>
            <w:r>
              <w:rPr>
                <w:rFonts w:ascii="Times New Roman" w:hAnsi="Times New Roman"/>
                <w:sz w:val="18"/>
                <w:szCs w:val="18"/>
              </w:rPr>
              <w:t>179.81</w:t>
            </w:r>
            <w:r>
              <w:rPr>
                <w:rFonts w:ascii="Times New Roman" w:hAnsi="Times New Roman"/>
                <w:sz w:val="18"/>
                <w:szCs w:val="18"/>
                <w:vertAlign w:val="superscript"/>
              </w:rPr>
              <w:t xml:space="preserve"> a</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13.58</w:t>
            </w:r>
            <w:r>
              <w:rPr>
                <w:rFonts w:ascii="Times New Roman" w:hAnsi="Times New Roman" w:cs="Times New Roman"/>
                <w:sz w:val="18"/>
                <w:szCs w:val="18"/>
                <w:vertAlign w:val="superscript"/>
              </w:rPr>
              <w:t>b</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99</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noWrap/>
            <w:vAlign w:val="center"/>
          </w:tcPr>
          <w:p>
            <w:pPr>
              <w:widowControl/>
              <w:snapToGrid w:val="0"/>
              <w:spacing w:line="240" w:lineRule="auto"/>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炼厂干气</w:t>
            </w:r>
          </w:p>
        </w:tc>
        <w:tc>
          <w:tcPr>
            <w:tcW w:w="1144" w:type="dxa"/>
            <w:vAlign w:val="center"/>
          </w:tcPr>
          <w:p>
            <w:pPr>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10</w:t>
            </w:r>
            <w:r>
              <w:rPr>
                <w:rFonts w:ascii="Times New Roman" w:hAnsi="Times New Roman"/>
                <w:sz w:val="18"/>
                <w:szCs w:val="18"/>
                <w:vertAlign w:val="superscript"/>
              </w:rPr>
              <w:t>4</w:t>
            </w:r>
            <w:r>
              <w:rPr>
                <w:rFonts w:ascii="Times New Roman" w:hAnsi="Times New Roman"/>
                <w:sz w:val="18"/>
                <w:szCs w:val="18"/>
              </w:rPr>
              <w:t>Nm</w:t>
            </w:r>
            <w:r>
              <w:rPr>
                <w:rFonts w:ascii="Times New Roman" w:hAnsi="Times New Roman"/>
                <w:sz w:val="18"/>
                <w:szCs w:val="18"/>
                <w:vertAlign w:val="superscript"/>
              </w:rPr>
              <w:t>3</w:t>
            </w:r>
          </w:p>
        </w:tc>
        <w:tc>
          <w:tcPr>
            <w:tcW w:w="2166" w:type="dxa"/>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45.998</w:t>
            </w:r>
            <w:r>
              <w:rPr>
                <w:rFonts w:ascii="Times New Roman" w:hAnsi="Times New Roman"/>
                <w:sz w:val="18"/>
                <w:szCs w:val="18"/>
                <w:vertAlign w:val="superscript"/>
              </w:rPr>
              <w:t xml:space="preserve"> a</w:t>
            </w:r>
          </w:p>
        </w:tc>
        <w:tc>
          <w:tcPr>
            <w:tcW w:w="1651" w:type="dxa"/>
            <w:vAlign w:val="center"/>
          </w:tcPr>
          <w:p>
            <w:pPr>
              <w:pStyle w:val="54"/>
              <w:keepNext w:val="0"/>
              <w:keepLines w:val="0"/>
              <w:pageBreakBefore w:val="0"/>
              <w:widowControl/>
              <w:kinsoku/>
              <w:wordWrap/>
              <w:overflowPunct/>
              <w:topLinePunct w:val="0"/>
              <w:bidi w:val="0"/>
              <w:adjustRightInd/>
              <w:snapToGrid w:val="0"/>
              <w:ind w:firstLine="0" w:firstLineChars="0"/>
              <w:jc w:val="center"/>
              <w:textAlignment w:val="auto"/>
              <w:rPr>
                <w:rFonts w:ascii="Times New Roman" w:hAnsi="Times New Roman" w:cs="Times New Roman"/>
                <w:sz w:val="18"/>
                <w:szCs w:val="18"/>
              </w:rPr>
            </w:pPr>
            <w:r>
              <w:rPr>
                <w:rFonts w:ascii="Times New Roman" w:hAnsi="Times New Roman" w:cs="Times New Roman"/>
                <w:sz w:val="18"/>
                <w:szCs w:val="18"/>
              </w:rPr>
              <w:t>18.2</w:t>
            </w:r>
            <w:r>
              <w:rPr>
                <w:rFonts w:ascii="Times New Roman" w:hAnsi="Times New Roman" w:cs="Times New Roman"/>
                <w:sz w:val="18"/>
                <w:szCs w:val="18"/>
                <w:vertAlign w:val="superscript"/>
              </w:rPr>
              <w:t>b</w:t>
            </w:r>
            <w:r>
              <w:rPr>
                <w:rFonts w:ascii="Times New Roman" w:hAnsi="Times New Roman" w:cs="Times New Roman"/>
                <w:sz w:val="18"/>
                <w:szCs w:val="18"/>
              </w:rPr>
              <w:t>×10</w:t>
            </w:r>
            <w:r>
              <w:rPr>
                <w:rFonts w:ascii="Times New Roman" w:hAnsi="Times New Roman" w:cs="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99</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129" w:type="dxa"/>
            <w:vMerge w:val="continue"/>
            <w:vAlign w:val="center"/>
          </w:tcPr>
          <w:p>
            <w:pPr>
              <w:widowControl/>
              <w:snapToGrid w:val="0"/>
              <w:spacing w:line="240" w:lineRule="auto"/>
              <w:jc w:val="center"/>
              <w:rPr>
                <w:rFonts w:ascii="Times New Roman" w:hAnsi="Times New Roman"/>
                <w:sz w:val="18"/>
                <w:szCs w:val="18"/>
              </w:rPr>
            </w:pPr>
          </w:p>
        </w:tc>
        <w:tc>
          <w:tcPr>
            <w:tcW w:w="1843" w:type="dxa"/>
            <w:noWrap/>
            <w:vAlign w:val="center"/>
          </w:tcPr>
          <w:p>
            <w:pPr>
              <w:widowControl/>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其它煤气</w:t>
            </w:r>
          </w:p>
        </w:tc>
        <w:tc>
          <w:tcPr>
            <w:tcW w:w="1144" w:type="dxa"/>
            <w:vAlign w:val="center"/>
          </w:tcPr>
          <w:p>
            <w:pPr>
              <w:snapToGrid w:val="0"/>
              <w:spacing w:line="240" w:lineRule="auto"/>
              <w:ind w:left="0" w:leftChars="0" w:firstLine="0" w:firstLineChars="0"/>
              <w:jc w:val="center"/>
              <w:rPr>
                <w:rFonts w:ascii="Times New Roman" w:hAnsi="Times New Roman"/>
                <w:sz w:val="18"/>
                <w:szCs w:val="18"/>
              </w:rPr>
            </w:pPr>
            <w:r>
              <w:rPr>
                <w:rFonts w:ascii="Times New Roman" w:hAnsi="Times New Roman"/>
                <w:sz w:val="18"/>
                <w:szCs w:val="18"/>
              </w:rPr>
              <w:t>10</w:t>
            </w:r>
            <w:r>
              <w:rPr>
                <w:rFonts w:ascii="Times New Roman" w:hAnsi="Times New Roman"/>
                <w:sz w:val="18"/>
                <w:szCs w:val="18"/>
                <w:vertAlign w:val="superscript"/>
              </w:rPr>
              <w:t>4</w:t>
            </w:r>
            <w:r>
              <w:rPr>
                <w:rFonts w:ascii="Times New Roman" w:hAnsi="Times New Roman"/>
                <w:sz w:val="18"/>
                <w:szCs w:val="18"/>
              </w:rPr>
              <w:t>Nm</w:t>
            </w:r>
            <w:r>
              <w:rPr>
                <w:rFonts w:ascii="Times New Roman" w:hAnsi="Times New Roman"/>
                <w:sz w:val="18"/>
                <w:szCs w:val="18"/>
                <w:vertAlign w:val="superscript"/>
              </w:rPr>
              <w:t>3</w:t>
            </w:r>
          </w:p>
        </w:tc>
        <w:tc>
          <w:tcPr>
            <w:tcW w:w="2166"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52.270</w:t>
            </w:r>
            <w:r>
              <w:rPr>
                <w:rFonts w:ascii="Times New Roman" w:hAnsi="Times New Roman"/>
                <w:sz w:val="18"/>
                <w:szCs w:val="18"/>
                <w:vertAlign w:val="superscript"/>
              </w:rPr>
              <w:t xml:space="preserve"> a</w:t>
            </w:r>
          </w:p>
        </w:tc>
        <w:tc>
          <w:tcPr>
            <w:tcW w:w="1651"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12.2</w:t>
            </w:r>
            <w:r>
              <w:rPr>
                <w:rFonts w:ascii="Times New Roman" w:hAnsi="Times New Roman"/>
                <w:sz w:val="18"/>
                <w:szCs w:val="18"/>
                <w:vertAlign w:val="superscript"/>
              </w:rPr>
              <w:t>b</w:t>
            </w:r>
            <w:r>
              <w:rPr>
                <w:rFonts w:ascii="Times New Roman" w:hAnsi="Times New Roman"/>
                <w:sz w:val="18"/>
                <w:szCs w:val="18"/>
              </w:rPr>
              <w:t>×10</w:t>
            </w:r>
            <w:r>
              <w:rPr>
                <w:rFonts w:ascii="Times New Roman" w:hAnsi="Times New Roman"/>
                <w:sz w:val="18"/>
                <w:szCs w:val="18"/>
                <w:vertAlign w:val="superscript"/>
              </w:rPr>
              <w:t>-3</w:t>
            </w:r>
          </w:p>
        </w:tc>
        <w:tc>
          <w:tcPr>
            <w:tcW w:w="1407" w:type="dxa"/>
            <w:vAlign w:val="center"/>
          </w:tcPr>
          <w:p>
            <w:pPr>
              <w:keepNext w:val="0"/>
              <w:keepLines w:val="0"/>
              <w:pageBreakBefore w:val="0"/>
              <w:widowControl/>
              <w:kinsoku/>
              <w:wordWrap/>
              <w:overflowPunct/>
              <w:topLinePunct w:val="0"/>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99</w:t>
            </w:r>
            <w:r>
              <w:rPr>
                <w:rFonts w:ascii="Times New Roman" w:hAnsi="Times New Roman"/>
                <w:sz w:val="18"/>
                <w:szCs w:val="18"/>
                <w:vertAlign w:val="superscript"/>
              </w:rPr>
              <w:t xml:space="preserve">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340" w:type="dxa"/>
            <w:gridSpan w:val="6"/>
            <w:vAlign w:val="center"/>
          </w:tcPr>
          <w:p>
            <w:pPr>
              <w:keepNext w:val="0"/>
              <w:keepLines w:val="0"/>
              <w:pageBreakBefore w:val="0"/>
              <w:kinsoku/>
              <w:wordWrap/>
              <w:overflowPunct/>
              <w:topLinePunct w:val="0"/>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vertAlign w:val="superscript"/>
              </w:rPr>
              <w:t>a</w:t>
            </w:r>
            <w:r>
              <w:rPr>
                <w:rFonts w:ascii="Times New Roman" w:hAnsi="Times New Roman"/>
                <w:sz w:val="18"/>
                <w:szCs w:val="18"/>
              </w:rPr>
              <w:t>数据取值来源为《中国能源统计年鉴2021》；</w:t>
            </w:r>
          </w:p>
          <w:p>
            <w:pPr>
              <w:keepNext w:val="0"/>
              <w:keepLines w:val="0"/>
              <w:pageBreakBefore w:val="0"/>
              <w:kinsoku/>
              <w:wordWrap/>
              <w:overflowPunct/>
              <w:topLinePunct w:val="0"/>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vertAlign w:val="superscript"/>
              </w:rPr>
              <w:t>b</w:t>
            </w:r>
            <w:r>
              <w:rPr>
                <w:rFonts w:ascii="Times New Roman" w:hAnsi="Times New Roman"/>
                <w:sz w:val="18"/>
                <w:szCs w:val="18"/>
              </w:rPr>
              <w:t>数据取值来源为《省级温室气体清单指南（试行）》；</w:t>
            </w:r>
          </w:p>
          <w:p>
            <w:pPr>
              <w:keepNext w:val="0"/>
              <w:keepLines w:val="0"/>
              <w:pageBreakBefore w:val="0"/>
              <w:kinsoku/>
              <w:wordWrap/>
              <w:overflowPunct/>
              <w:topLinePunct w:val="0"/>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vertAlign w:val="superscript"/>
              </w:rPr>
              <w:t>c</w:t>
            </w:r>
            <w:r>
              <w:rPr>
                <w:rFonts w:ascii="Times New Roman" w:hAnsi="Times New Roman"/>
                <w:sz w:val="18"/>
                <w:szCs w:val="18"/>
              </w:rPr>
              <w:t>数据取值来源为《2006年 IPCC 国家温室气体清单指南》及2019年修订版；</w:t>
            </w:r>
          </w:p>
          <w:p>
            <w:pPr>
              <w:keepNext w:val="0"/>
              <w:keepLines w:val="0"/>
              <w:pageBreakBefore w:val="0"/>
              <w:kinsoku/>
              <w:wordWrap/>
              <w:overflowPunct/>
              <w:topLinePunct w:val="0"/>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vertAlign w:val="superscript"/>
              </w:rPr>
              <w:t>d</w:t>
            </w:r>
            <w:r>
              <w:rPr>
                <w:rFonts w:ascii="Times New Roman" w:hAnsi="Times New Roman"/>
                <w:sz w:val="18"/>
                <w:szCs w:val="18"/>
              </w:rPr>
              <w:t>数据取值来源为《中国温室气体清单研究》（2005）；</w:t>
            </w:r>
          </w:p>
          <w:p>
            <w:pPr>
              <w:keepNext w:val="0"/>
              <w:keepLines w:val="0"/>
              <w:pageBreakBefore w:val="0"/>
              <w:kinsoku/>
              <w:wordWrap/>
              <w:overflowPunct/>
              <w:topLinePunct w:val="0"/>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vertAlign w:val="superscript"/>
              </w:rPr>
              <w:t>e</w:t>
            </w:r>
            <w:r>
              <w:rPr>
                <w:rFonts w:ascii="Times New Roman" w:hAnsi="Times New Roman"/>
                <w:sz w:val="18"/>
                <w:szCs w:val="18"/>
              </w:rPr>
              <w:t>数据取值来源为《能源统计报表制度》；</w:t>
            </w:r>
          </w:p>
          <w:p>
            <w:pPr>
              <w:keepNext w:val="0"/>
              <w:keepLines w:val="0"/>
              <w:pageBreakBefore w:val="0"/>
              <w:kinsoku/>
              <w:wordWrap/>
              <w:overflowPunct/>
              <w:topLinePunct w:val="0"/>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vertAlign w:val="superscript"/>
              </w:rPr>
              <w:t>f</w:t>
            </w:r>
            <w:r>
              <w:rPr>
                <w:rFonts w:ascii="Times New Roman" w:hAnsi="Times New Roman"/>
                <w:sz w:val="18"/>
                <w:szCs w:val="18"/>
              </w:rPr>
              <w:t>数据取值来源为行业统计数据</w:t>
            </w:r>
          </w:p>
        </w:tc>
      </w:tr>
    </w:tbl>
    <w:p>
      <w:pPr>
        <w:pStyle w:val="44"/>
        <w:keepNext w:val="0"/>
        <w:keepLines w:val="0"/>
        <w:pageBreakBefore w:val="0"/>
        <w:kinsoku/>
        <w:wordWrap/>
        <w:overflowPunct/>
        <w:topLinePunct w:val="0"/>
        <w:bidi w:val="0"/>
        <w:adjustRightInd/>
        <w:ind w:firstLine="0" w:firstLineChars="0"/>
        <w:textAlignment w:val="auto"/>
      </w:pPr>
    </w:p>
    <w:p>
      <w:pPr>
        <w:pStyle w:val="44"/>
        <w:ind w:firstLine="420"/>
        <w:sectPr>
          <w:pgSz w:w="11906" w:h="16838"/>
          <w:pgMar w:top="2410" w:right="1134" w:bottom="1134" w:left="1134" w:header="1418" w:footer="1134" w:gutter="284"/>
          <w:cols w:space="425" w:num="1"/>
          <w:formProt w:val="0"/>
          <w:docGrid w:type="lines" w:linePitch="312" w:charSpace="0"/>
        </w:sectPr>
      </w:pPr>
    </w:p>
    <w:p>
      <w:pPr>
        <w:pStyle w:val="57"/>
        <w:rPr>
          <w:vanish w:val="0"/>
        </w:rPr>
      </w:pPr>
    </w:p>
    <w:p>
      <w:pPr>
        <w:pStyle w:val="59"/>
        <w:numPr>
          <w:ilvl w:val="0"/>
          <w:numId w:val="0"/>
        </w:numPr>
        <w:spacing w:before="78" w:after="156"/>
        <w:ind w:leftChars="0"/>
        <w:jc w:val="center"/>
        <w:rPr>
          <w:rFonts w:ascii="Times New Roman"/>
        </w:rPr>
      </w:pPr>
      <w:bookmarkStart w:id="59" w:name="_Toc128508380"/>
      <w:bookmarkStart w:id="60" w:name="_Toc128585869"/>
      <w:bookmarkStart w:id="61" w:name="_Toc128676571"/>
      <w:bookmarkStart w:id="62" w:name="_Toc4716"/>
      <w:bookmarkStart w:id="63" w:name="_Toc128508312"/>
      <w:bookmarkStart w:id="64" w:name="_Toc128508464"/>
      <w:r>
        <w:rPr>
          <w:rFonts w:hint="eastAsia" w:ascii="Times New Roman"/>
          <w:lang w:val="en-US" w:eastAsia="zh-CN"/>
        </w:rPr>
        <w:t xml:space="preserve">附录D </w:t>
      </w:r>
      <w:r>
        <w:rPr>
          <w:rFonts w:ascii="Times New Roman"/>
        </w:rPr>
        <w:t>数据质量控制计划模板</w:t>
      </w:r>
      <w:bookmarkEnd w:id="59"/>
      <w:bookmarkEnd w:id="60"/>
      <w:bookmarkEnd w:id="61"/>
      <w:bookmarkEnd w:id="62"/>
      <w:bookmarkEnd w:id="63"/>
      <w:bookmarkEnd w:id="64"/>
    </w:p>
    <w:p>
      <w:pPr>
        <w:pStyle w:val="44"/>
        <w:spacing w:line="360" w:lineRule="auto"/>
        <w:ind w:firstLine="0" w:firstLineChars="0"/>
        <w:jc w:val="center"/>
        <w:rPr>
          <w:rFonts w:ascii="Times New Roman"/>
        </w:rPr>
      </w:pPr>
      <w:r>
        <w:rPr>
          <w:rFonts w:ascii="Times New Roman"/>
          <w:u w:val="single"/>
        </w:rPr>
        <w:t>****企业（或者其他经济组织）</w:t>
      </w:r>
      <w:r>
        <w:rPr>
          <w:rFonts w:ascii="Times New Roman"/>
        </w:rPr>
        <w:t>名称</w:t>
      </w:r>
    </w:p>
    <w:bookmarkEnd w:id="65"/>
    <w:p>
      <w:pPr>
        <w:pStyle w:val="44"/>
        <w:spacing w:line="360" w:lineRule="auto"/>
        <w:ind w:firstLine="0" w:firstLineChars="0"/>
        <w:jc w:val="center"/>
        <w:rPr>
          <w:rFonts w:ascii="Times New Roman"/>
        </w:rPr>
      </w:pPr>
      <w:r>
        <w:rPr>
          <w:rFonts w:hint="eastAsia" w:ascii="Times New Roman"/>
        </w:rPr>
        <w:t>温室气体</w:t>
      </w:r>
      <w:r>
        <w:rPr>
          <w:rFonts w:ascii="Times New Roman"/>
        </w:rPr>
        <w:t>排放数据质量控制计划</w:t>
      </w:r>
    </w:p>
    <w:tbl>
      <w:tblPr>
        <w:tblStyle w:val="1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2697"/>
        <w:gridCol w:w="2122"/>
        <w:gridCol w:w="2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4"/>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A 数据质量控制计划的版本及修订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版本号</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制定（修订）时间</w:t>
            </w: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制定（修订）原因</w:t>
            </w: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4"/>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B 报告主体描述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企业（或者其他经济组织）名称</w:t>
            </w:r>
          </w:p>
        </w:tc>
        <w:tc>
          <w:tcPr>
            <w:tcW w:w="7517"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地址</w:t>
            </w:r>
          </w:p>
        </w:tc>
        <w:tc>
          <w:tcPr>
            <w:tcW w:w="7517"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统一社会信用代码（组织机构代码）</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行业分类</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（按核算标准分类）</w:t>
            </w:r>
          </w:p>
        </w:tc>
        <w:tc>
          <w:tcPr>
            <w:tcW w:w="2698"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法定代表人</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姓名：</w:t>
            </w:r>
          </w:p>
        </w:tc>
        <w:tc>
          <w:tcPr>
            <w:tcW w:w="482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数据质量控制计划制定人</w:t>
            </w:r>
          </w:p>
        </w:tc>
        <w:tc>
          <w:tcPr>
            <w:tcW w:w="2697"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姓名：</w:t>
            </w:r>
          </w:p>
        </w:tc>
        <w:tc>
          <w:tcPr>
            <w:tcW w:w="2122"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电话：</w:t>
            </w:r>
          </w:p>
        </w:tc>
        <w:tc>
          <w:tcPr>
            <w:tcW w:w="269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报告主体简介</w:t>
            </w:r>
          </w:p>
          <w:p>
            <w:pPr>
              <w:keepNext w:val="0"/>
              <w:keepLines w:val="0"/>
              <w:pageBreakBefore w:val="0"/>
              <w:widowControl/>
              <w:numPr>
                <w:ilvl w:val="0"/>
                <w:numId w:val="13"/>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ascii="Times New Roman" w:hAnsi="Times New Roman"/>
                <w:kern w:val="0"/>
                <w:sz w:val="18"/>
                <w:szCs w:val="18"/>
              </w:rPr>
              <w:t>单位简介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（至少包括：成立时间、所有权状况、法定代表人、组织机构图和厂区平面分布图）</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numPr>
                <w:ilvl w:val="0"/>
                <w:numId w:val="13"/>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ascii="Times New Roman" w:hAnsi="Times New Roman"/>
                <w:kern w:val="0"/>
                <w:sz w:val="18"/>
                <w:szCs w:val="18"/>
              </w:rPr>
              <w:t>主营产品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（至少包括：主营产品的名称及产品代码）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numPr>
                <w:ilvl w:val="0"/>
                <w:numId w:val="13"/>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ascii="Times New Roman" w:hAnsi="Times New Roman"/>
                <w:kern w:val="0"/>
                <w:sz w:val="18"/>
                <w:szCs w:val="18"/>
              </w:rPr>
              <w:t>主营产品及生产工艺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（至少包括：每种产品的生产工艺流程图及工艺流程描述，并在图中标明</w:t>
            </w:r>
            <w:r>
              <w:rPr>
                <w:rFonts w:hint="eastAsia" w:ascii="Times New Roman" w:hAnsi="Times New Roman"/>
                <w:kern w:val="0"/>
                <w:sz w:val="18"/>
                <w:szCs w:val="18"/>
              </w:rPr>
              <w:t>温室气体</w:t>
            </w:r>
            <w:r>
              <w:rPr>
                <w:rFonts w:ascii="Times New Roman" w:hAnsi="Times New Roman"/>
                <w:kern w:val="0"/>
                <w:sz w:val="18"/>
                <w:szCs w:val="18"/>
              </w:rPr>
              <w:t>排放设施，对于涉及化学反应的工艺需写明化学反应方程式）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bl>
    <w:p>
      <w:pPr>
        <w:pStyle w:val="44"/>
        <w:ind w:firstLine="420"/>
        <w:rPr>
          <w:rFonts w:ascii="Times New Roman"/>
        </w:rPr>
      </w:pPr>
    </w:p>
    <w:p>
      <w:pPr>
        <w:tabs>
          <w:tab w:val="left" w:pos="1095"/>
        </w:tabs>
        <w:rPr>
          <w:rFonts w:ascii="Times New Roman" w:hAnsi="Times New Roman"/>
          <w:kern w:val="0"/>
          <w:szCs w:val="20"/>
        </w:rPr>
        <w:sectPr>
          <w:pgSz w:w="11906" w:h="16838"/>
          <w:pgMar w:top="2410" w:right="1134" w:bottom="1134" w:left="1134" w:header="1418" w:footer="1134" w:gutter="284"/>
          <w:cols w:space="425" w:num="1"/>
          <w:formProt w:val="0"/>
          <w:docGrid w:type="lines" w:linePitch="312" w:charSpace="0"/>
        </w:sectPr>
      </w:pPr>
      <w:r>
        <w:rPr>
          <w:rFonts w:ascii="Times New Roman" w:hAnsi="Times New Roman"/>
          <w:kern w:val="0"/>
          <w:szCs w:val="20"/>
        </w:rPr>
        <w:tab/>
      </w:r>
    </w:p>
    <w:tbl>
      <w:tblPr>
        <w:tblStyle w:val="11"/>
        <w:tblW w:w="144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528"/>
        <w:gridCol w:w="868"/>
        <w:gridCol w:w="1275"/>
        <w:gridCol w:w="112"/>
        <w:gridCol w:w="1593"/>
        <w:gridCol w:w="2548"/>
        <w:gridCol w:w="992"/>
        <w:gridCol w:w="992"/>
        <w:gridCol w:w="851"/>
        <w:gridCol w:w="992"/>
        <w:gridCol w:w="845"/>
        <w:gridCol w:w="6"/>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C 核算边界和主要排放设施描述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numPr>
                <w:ilvl w:val="0"/>
                <w:numId w:val="13"/>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ascii="Times New Roman" w:hAnsi="Times New Roman"/>
                <w:kern w:val="0"/>
                <w:sz w:val="18"/>
                <w:szCs w:val="18"/>
              </w:rPr>
              <w:t>法人边界的核算和报告范围描述</w:t>
            </w:r>
            <w:r>
              <w:rPr>
                <w:rFonts w:ascii="Times New Roman" w:hAnsi="Times New Roman"/>
                <w:kern w:val="0"/>
                <w:sz w:val="18"/>
                <w:szCs w:val="18"/>
                <w:vertAlign w:val="superscript"/>
              </w:rPr>
              <w:footnoteReference w:id="1"/>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numPr>
                <w:ilvl w:val="0"/>
                <w:numId w:val="13"/>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ascii="Times New Roman" w:hAnsi="Times New Roman"/>
                <w:kern w:val="0"/>
                <w:sz w:val="18"/>
                <w:szCs w:val="18"/>
              </w:rPr>
              <w:t>主要排放设施</w:t>
            </w:r>
            <w:r>
              <w:rPr>
                <w:rFonts w:ascii="Times New Roman" w:hAnsi="Times New Roman"/>
                <w:kern w:val="0"/>
                <w:sz w:val="18"/>
                <w:szCs w:val="18"/>
                <w:vertAlign w:val="superscript"/>
              </w:rPr>
              <w:footnoteReference w:id="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5.1与</w:t>
            </w:r>
            <w:r>
              <w:rPr>
                <w:rFonts w:hint="eastAsia" w:ascii="Times New Roman" w:hAnsi="Times New Roman"/>
                <w:sz w:val="18"/>
                <w:szCs w:val="18"/>
              </w:rPr>
              <w:t>化石</w:t>
            </w:r>
            <w:r>
              <w:rPr>
                <w:rFonts w:ascii="Times New Roman" w:hAnsi="Times New Roman"/>
                <w:sz w:val="18"/>
                <w:szCs w:val="18"/>
              </w:rPr>
              <w:t>燃料燃烧排放相关的排放设施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编号</w:t>
            </w:r>
          </w:p>
        </w:tc>
        <w:tc>
          <w:tcPr>
            <w:tcW w:w="27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排放设施名称</w:t>
            </w:r>
          </w:p>
        </w:tc>
        <w:tc>
          <w:tcPr>
            <w:tcW w:w="414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排放设施安装位置</w:t>
            </w:r>
          </w:p>
        </w:tc>
        <w:tc>
          <w:tcPr>
            <w:tcW w:w="283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排放过程</w:t>
            </w:r>
            <w:r>
              <w:rPr>
                <w:rFonts w:ascii="Times New Roman" w:hAnsi="Times New Roman"/>
                <w:kern w:val="0"/>
                <w:sz w:val="18"/>
                <w:szCs w:val="18"/>
                <w:vertAlign w:val="superscript"/>
              </w:rPr>
              <w:footnoteReference w:id="3"/>
            </w: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27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414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27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414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283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5.2主要耗电</w:t>
            </w:r>
            <w:r>
              <w:rPr>
                <w:rFonts w:hint="eastAsia" w:ascii="Times New Roman" w:hAnsi="Times New Roman"/>
                <w:kern w:val="0"/>
                <w:sz w:val="18"/>
                <w:szCs w:val="18"/>
              </w:rPr>
              <w:t>/热</w:t>
            </w:r>
            <w:r>
              <w:rPr>
                <w:rFonts w:ascii="Times New Roman" w:hAnsi="Times New Roman"/>
                <w:kern w:val="0"/>
                <w:sz w:val="18"/>
                <w:szCs w:val="18"/>
              </w:rPr>
              <w:t>的设施</w:t>
            </w:r>
            <w:r>
              <w:rPr>
                <w:rFonts w:ascii="Times New Roman" w:hAnsi="Times New Roman"/>
                <w:kern w:val="0"/>
                <w:sz w:val="18"/>
                <w:szCs w:val="18"/>
                <w:vertAlign w:val="superscript"/>
              </w:rPr>
              <w:footnoteReference w:id="4"/>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编号</w:t>
            </w:r>
          </w:p>
        </w:tc>
        <w:tc>
          <w:tcPr>
            <w:tcW w:w="437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设施名称</w:t>
            </w:r>
          </w:p>
        </w:tc>
        <w:tc>
          <w:tcPr>
            <w:tcW w:w="53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设施安装位置</w:t>
            </w: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是否纳入配额管控范围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437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53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26"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4376"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538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c>
          <w:tcPr>
            <w:tcW w:w="3969"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kern w:val="0"/>
                <w:sz w:val="18"/>
                <w:szCs w:val="18"/>
              </w:rPr>
            </w:pPr>
            <w:r>
              <w:rPr>
                <w:rFonts w:ascii="Times New Roman" w:hAnsi="Times New Roman"/>
                <w:kern w:val="0"/>
                <w:sz w:val="18"/>
                <w:szCs w:val="18"/>
              </w:rPr>
              <w:br w:type="page"/>
            </w:r>
            <w:r>
              <w:rPr>
                <w:rFonts w:ascii="Times New Roman" w:hAnsi="Times New Roman"/>
                <w:kern w:val="0"/>
                <w:sz w:val="18"/>
                <w:szCs w:val="18"/>
              </w:rPr>
              <w:t>D活动数据和排放因子的确定方式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 xml:space="preserve">D-1 </w:t>
            </w:r>
            <w:r>
              <w:rPr>
                <w:rFonts w:hint="eastAsia" w:ascii="Times New Roman" w:hAnsi="Times New Roman"/>
                <w:sz w:val="18"/>
                <w:szCs w:val="18"/>
              </w:rPr>
              <w:t>化石</w:t>
            </w:r>
            <w:r>
              <w:rPr>
                <w:rFonts w:ascii="Times New Roman" w:hAnsi="Times New Roman"/>
                <w:sz w:val="18"/>
                <w:szCs w:val="18"/>
              </w:rPr>
              <w:t>燃料燃烧排放活动数据和排放因子的确定方式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燃料种类</w:t>
            </w:r>
          </w:p>
        </w:tc>
        <w:tc>
          <w:tcPr>
            <w:tcW w:w="868"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单位</w:t>
            </w:r>
          </w:p>
        </w:tc>
        <w:tc>
          <w:tcPr>
            <w:tcW w:w="5528" w:type="dxa"/>
            <w:gridSpan w:val="4"/>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数据的计算方法及获取方式</w:t>
            </w:r>
            <w:r>
              <w:rPr>
                <w:rFonts w:ascii="Times New Roman" w:hAnsi="Times New Roman"/>
                <w:kern w:val="0"/>
                <w:sz w:val="18"/>
                <w:szCs w:val="18"/>
                <w:vertAlign w:val="superscript"/>
              </w:rPr>
              <w:footnoteReference w:id="5"/>
            </w:r>
          </w:p>
          <w:p>
            <w:pPr>
              <w:keepNext w:val="0"/>
              <w:keepLines w:val="0"/>
              <w:pageBreakBefore w:val="0"/>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r>
              <w:rPr>
                <w:rFonts w:ascii="Times New Roman" w:hAnsi="Times New Roman"/>
                <w:sz w:val="18"/>
                <w:szCs w:val="18"/>
              </w:rPr>
              <w:t>选取以下获取方式：</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实测值（如是，请具体填报时，采用在表下加备注的方式写明具体方法和标准）；</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缺省值（如是，请填写具体数值）；</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相关方结算凭证（如是，请具体填报时，采用在表下加备注的方式填写如何确保供应商数据质量）；</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i/>
                <w:sz w:val="18"/>
                <w:szCs w:val="18"/>
              </w:rPr>
            </w:pPr>
            <w:r>
              <w:rPr>
                <w:rFonts w:ascii="Times New Roman" w:hAnsi="Times New Roman"/>
                <w:sz w:val="18"/>
                <w:szCs w:val="18"/>
              </w:rPr>
              <w:t>其他方式（如是，请具体填报时，采用在表下加备注的方式详细描述）。</w:t>
            </w:r>
          </w:p>
        </w:tc>
        <w:tc>
          <w:tcPr>
            <w:tcW w:w="4678"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测量设备（适用于数据获取方式来源于实测值）</w:t>
            </w:r>
          </w:p>
        </w:tc>
        <w:tc>
          <w:tcPr>
            <w:tcW w:w="708"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数据记录频次</w:t>
            </w:r>
          </w:p>
        </w:tc>
        <w:tc>
          <w:tcPr>
            <w:tcW w:w="709"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数据缺失时的处理方式</w:t>
            </w:r>
          </w:p>
        </w:tc>
        <w:tc>
          <w:tcPr>
            <w:tcW w:w="709" w:type="dxa"/>
            <w:vMerge w:val="restart"/>
            <w:tcBorders>
              <w:top w:val="single" w:color="auto" w:sz="4" w:space="0"/>
              <w:left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p>
        </w:tc>
        <w:tc>
          <w:tcPr>
            <w:tcW w:w="86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p>
        </w:tc>
        <w:tc>
          <w:tcPr>
            <w:tcW w:w="5528" w:type="dxa"/>
            <w:gridSpan w:val="4"/>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i/>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监测设备及型号</w:t>
            </w: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监测设备安装位置</w:t>
            </w: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w:t>
            </w:r>
          </w:p>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频次</w:t>
            </w: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w:t>
            </w:r>
          </w:p>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精度</w:t>
            </w:r>
          </w:p>
        </w:tc>
        <w:tc>
          <w:tcPr>
            <w:tcW w:w="85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规定的</w:t>
            </w:r>
          </w:p>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w:t>
            </w:r>
          </w:p>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校准频次</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p>
        </w:tc>
        <w:tc>
          <w:tcPr>
            <w:tcW w:w="709" w:type="dxa"/>
            <w:vMerge w:val="continue"/>
            <w:tcBorders>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hint="eastAsia" w:ascii="Times New Roman" w:hAnsi="Times New Roman"/>
                <w:sz w:val="18"/>
                <w:szCs w:val="18"/>
              </w:rPr>
              <w:t>化石</w:t>
            </w:r>
            <w:r>
              <w:rPr>
                <w:rFonts w:ascii="Times New Roman" w:hAnsi="Times New Roman"/>
                <w:sz w:val="18"/>
                <w:szCs w:val="18"/>
              </w:rPr>
              <w:t>燃料种类A</w:t>
            </w:r>
            <w:r>
              <w:rPr>
                <w:rFonts w:ascii="Times New Roman" w:hAnsi="Times New Roman"/>
                <w:sz w:val="18"/>
                <w:szCs w:val="18"/>
                <w:vertAlign w:val="superscript"/>
              </w:rPr>
              <w:footnoteReference w:id="6"/>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消耗量</w:t>
            </w: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5528"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低位发热值</w:t>
            </w: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5528"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i/>
                <w:iCs/>
                <w:color w:val="4F81BD"/>
                <w:spacing w:val="15"/>
                <w:kern w:val="0"/>
                <w:sz w:val="18"/>
                <w:szCs w:val="18"/>
              </w:rPr>
            </w:pPr>
            <w:r>
              <w:rPr>
                <w:rFonts w:ascii="Times New Roman" w:hAnsi="Times New Roman"/>
                <w:kern w:val="0"/>
                <w:sz w:val="18"/>
                <w:szCs w:val="18"/>
              </w:rPr>
              <w:t>单位热值含碳量</w:t>
            </w: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5528"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碳氧化率</w:t>
            </w: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w:t>
            </w:r>
          </w:p>
        </w:tc>
        <w:tc>
          <w:tcPr>
            <w:tcW w:w="5528"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hint="eastAsia" w:ascii="Times New Roman" w:hAnsi="Times New Roman"/>
                <w:sz w:val="18"/>
                <w:szCs w:val="18"/>
              </w:rPr>
              <w:t>化石</w:t>
            </w:r>
            <w:r>
              <w:rPr>
                <w:rFonts w:ascii="Times New Roman" w:hAnsi="Times New Roman"/>
                <w:sz w:val="18"/>
                <w:szCs w:val="18"/>
              </w:rPr>
              <w:t>燃料种类B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4" w:type="dxa"/>
            <w:gridSpan w:val="2"/>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宋体" w:hAnsi="宋体"/>
                <w:kern w:val="0"/>
                <w:sz w:val="18"/>
                <w:szCs w:val="18"/>
              </w:rPr>
            </w:pPr>
            <w:r>
              <w:rPr>
                <w:rFonts w:ascii="宋体" w:hAnsi="宋体"/>
                <w:kern w:val="0"/>
                <w:sz w:val="18"/>
                <w:szCs w:val="18"/>
              </w:rPr>
              <w:t>……</w:t>
            </w:r>
          </w:p>
        </w:tc>
        <w:tc>
          <w:tcPr>
            <w:tcW w:w="86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5528"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851"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8"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b/>
                <w:bCs/>
                <w:color w:val="4F81BD"/>
                <w:sz w:val="18"/>
                <w:szCs w:val="18"/>
              </w:rPr>
            </w:pPr>
          </w:p>
        </w:tc>
        <w:tc>
          <w:tcPr>
            <w:tcW w:w="709"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D-2 购入和输出电力活动数据和排放因子的确定方式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过程参数</w:t>
            </w:r>
          </w:p>
        </w:tc>
        <w:tc>
          <w:tcPr>
            <w:tcW w:w="1275"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单位</w:t>
            </w:r>
          </w:p>
        </w:tc>
        <w:tc>
          <w:tcPr>
            <w:tcW w:w="4253" w:type="dxa"/>
            <w:gridSpan w:val="3"/>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数据的计算方法及获取方式</w:t>
            </w:r>
          </w:p>
          <w:p>
            <w:pPr>
              <w:keepNext w:val="0"/>
              <w:keepLines w:val="0"/>
              <w:pageBreakBefore w:val="0"/>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r>
              <w:rPr>
                <w:rFonts w:ascii="Times New Roman" w:hAnsi="Times New Roman"/>
                <w:sz w:val="18"/>
                <w:szCs w:val="18"/>
              </w:rPr>
              <w:t>选取以下获取方式：</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实测值（如是，请具体填报时，采用在表下加备注的方式写明具体方法和标准）；</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缺省值（如是，请填写具体数值）；</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相关方结算凭证（如是，请具体填报时，采用在表下加备注的方式填写如何确保供应商数据质量）；</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sz w:val="18"/>
                <w:szCs w:val="18"/>
              </w:rPr>
            </w:pPr>
            <w:r>
              <w:rPr>
                <w:rFonts w:ascii="Times New Roman" w:hAnsi="Times New Roman"/>
                <w:sz w:val="18"/>
                <w:szCs w:val="18"/>
              </w:rPr>
              <w:t>其他方式（如是，请具体填报时，采用在表下加备注的方式详细描述）。</w:t>
            </w:r>
          </w:p>
        </w:tc>
        <w:tc>
          <w:tcPr>
            <w:tcW w:w="467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测量设备（适用于数据获取方式来源于实测值）</w:t>
            </w:r>
          </w:p>
        </w:tc>
        <w:tc>
          <w:tcPr>
            <w:tcW w:w="714" w:type="dxa"/>
            <w:gridSpan w:val="2"/>
            <w:vMerge w:val="restart"/>
            <w:tcBorders>
              <w:top w:val="single" w:color="auto" w:sz="4" w:space="0"/>
              <w:left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数据记录频次</w:t>
            </w:r>
          </w:p>
        </w:tc>
        <w:tc>
          <w:tcPr>
            <w:tcW w:w="709"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数据缺失时的处理方式</w:t>
            </w:r>
          </w:p>
        </w:tc>
        <w:tc>
          <w:tcPr>
            <w:tcW w:w="709"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4253"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监测设备及型号</w:t>
            </w: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监测设备安装位置</w:t>
            </w: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监测频次</w:t>
            </w: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监测设备精度</w:t>
            </w:r>
          </w:p>
        </w:tc>
        <w:tc>
          <w:tcPr>
            <w:tcW w:w="84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规定的监测设备校准频次</w:t>
            </w:r>
          </w:p>
        </w:tc>
        <w:tc>
          <w:tcPr>
            <w:tcW w:w="714" w:type="dxa"/>
            <w:gridSpan w:val="2"/>
            <w:vMerge w:val="continue"/>
            <w:tcBorders>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hint="eastAsia" w:ascii="Times New Roman" w:hAnsi="Times New Roman"/>
                <w:kern w:val="0"/>
                <w:sz w:val="18"/>
                <w:szCs w:val="18"/>
              </w:rPr>
              <w:t>净购入使用的电量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hint="eastAsia" w:ascii="Times New Roman" w:hAnsi="Times New Roman"/>
                <w:kern w:val="0"/>
                <w:sz w:val="18"/>
                <w:szCs w:val="18"/>
              </w:rPr>
              <w:t>购入的总电量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hint="eastAsia" w:ascii="Times New Roman" w:hAnsi="Times New Roman"/>
                <w:kern w:val="0"/>
                <w:sz w:val="18"/>
                <w:szCs w:val="18"/>
              </w:rPr>
              <w:t>转供输出的总电量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hint="eastAsia" w:ascii="Times New Roman" w:hAnsi="Times New Roman"/>
                <w:kern w:val="0"/>
                <w:sz w:val="18"/>
                <w:szCs w:val="18"/>
              </w:rPr>
              <w:t>通过市场化交易购入使用的非化石能源电力消费量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hint="eastAsia" w:ascii="Times New Roman" w:hAnsi="Times New Roman"/>
                <w:kern w:val="0"/>
                <w:sz w:val="18"/>
                <w:szCs w:val="18"/>
              </w:rPr>
              <w:t>转供输出的总电量中包括通过市场化交易购入使用的非化石能源电力消费量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电力排放因子</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tCO</w:t>
            </w:r>
            <w:r>
              <w:rPr>
                <w:rFonts w:ascii="Times New Roman" w:hAnsi="Times New Roman"/>
                <w:sz w:val="18"/>
                <w:szCs w:val="18"/>
                <w:vertAlign w:val="subscript"/>
              </w:rPr>
              <w:t>2</w:t>
            </w:r>
            <w:r>
              <w:rPr>
                <w:rFonts w:ascii="Times New Roman" w:hAnsi="Times New Roman"/>
                <w:sz w:val="18"/>
                <w:szCs w:val="18"/>
              </w:rPr>
              <w:t>/MWh</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4454" w:type="dxa"/>
            <w:gridSpan w:val="16"/>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D-3 购入和输出热力活动数据和排放因子的确定方式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restart"/>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过程参数</w:t>
            </w:r>
          </w:p>
        </w:tc>
        <w:tc>
          <w:tcPr>
            <w:tcW w:w="1275"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单位</w:t>
            </w:r>
          </w:p>
        </w:tc>
        <w:tc>
          <w:tcPr>
            <w:tcW w:w="4253" w:type="dxa"/>
            <w:gridSpan w:val="3"/>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数据的计算方法及获取方式</w:t>
            </w:r>
          </w:p>
          <w:p>
            <w:pPr>
              <w:keepNext w:val="0"/>
              <w:keepLines w:val="0"/>
              <w:pageBreakBefore w:val="0"/>
              <w:kinsoku/>
              <w:wordWrap/>
              <w:overflowPunct/>
              <w:topLinePunct w:val="0"/>
              <w:autoSpaceDE/>
              <w:autoSpaceDN/>
              <w:bidi w:val="0"/>
              <w:adjustRightInd/>
              <w:snapToGrid w:val="0"/>
              <w:spacing w:line="240" w:lineRule="auto"/>
              <w:ind w:firstLine="0" w:firstLineChars="0"/>
              <w:jc w:val="left"/>
              <w:textAlignment w:val="auto"/>
              <w:rPr>
                <w:rFonts w:ascii="Times New Roman" w:hAnsi="Times New Roman"/>
                <w:sz w:val="18"/>
                <w:szCs w:val="18"/>
              </w:rPr>
            </w:pPr>
            <w:r>
              <w:rPr>
                <w:rFonts w:ascii="Times New Roman" w:hAnsi="Times New Roman"/>
                <w:sz w:val="18"/>
                <w:szCs w:val="18"/>
              </w:rPr>
              <w:t>选取以下获取方式：</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实测值（如是，请具体填报时，采用在表下加备注的方式写明具体方法和标准）；</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缺省值（如是，请填写具体数值）；</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jc w:val="left"/>
              <w:textAlignment w:val="auto"/>
              <w:rPr>
                <w:rFonts w:ascii="Times New Roman" w:hAnsi="Times New Roman"/>
                <w:sz w:val="18"/>
                <w:szCs w:val="18"/>
              </w:rPr>
            </w:pPr>
            <w:r>
              <w:rPr>
                <w:rFonts w:ascii="Times New Roman" w:hAnsi="Times New Roman"/>
                <w:sz w:val="18"/>
                <w:szCs w:val="18"/>
              </w:rPr>
              <w:t>相关方结算凭证（如是，请具体填报时，采用在表下加备注的方式填写如何确保供应商数据质量）；</w:t>
            </w:r>
          </w:p>
          <w:p>
            <w:pPr>
              <w:keepNext w:val="0"/>
              <w:keepLines w:val="0"/>
              <w:pageBreakBefore w:val="0"/>
              <w:numPr>
                <w:ilvl w:val="0"/>
                <w:numId w:val="14"/>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sz w:val="18"/>
                <w:szCs w:val="18"/>
              </w:rPr>
            </w:pPr>
            <w:r>
              <w:rPr>
                <w:rFonts w:ascii="Times New Roman" w:hAnsi="Times New Roman"/>
                <w:sz w:val="18"/>
                <w:szCs w:val="18"/>
              </w:rPr>
              <w:t>其他方式（如是，请具体填报时，采用在表下加备注的方式详细描述）。</w:t>
            </w:r>
          </w:p>
        </w:tc>
        <w:tc>
          <w:tcPr>
            <w:tcW w:w="467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测量设备（适用于数据获取方式来源于实测值）</w:t>
            </w:r>
          </w:p>
        </w:tc>
        <w:tc>
          <w:tcPr>
            <w:tcW w:w="714" w:type="dxa"/>
            <w:gridSpan w:val="2"/>
            <w:vMerge w:val="restart"/>
            <w:tcBorders>
              <w:top w:val="single" w:color="auto" w:sz="4" w:space="0"/>
              <w:left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数据记录频次</w:t>
            </w:r>
          </w:p>
        </w:tc>
        <w:tc>
          <w:tcPr>
            <w:tcW w:w="709"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kern w:val="0"/>
                <w:sz w:val="18"/>
                <w:szCs w:val="18"/>
              </w:rPr>
              <w:t>数据缺失时的处理方式</w:t>
            </w:r>
          </w:p>
        </w:tc>
        <w:tc>
          <w:tcPr>
            <w:tcW w:w="709" w:type="dxa"/>
            <w:vMerge w:val="restart"/>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sz w:val="18"/>
                <w:szCs w:val="18"/>
              </w:rPr>
            </w:pPr>
            <w:r>
              <w:rPr>
                <w:rFonts w:ascii="Times New Roman" w:hAnsi="Times New Roman"/>
                <w:sz w:val="18"/>
                <w:szCs w:val="18"/>
              </w:rPr>
              <w:t>数据获取负责部门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4253" w:type="dxa"/>
            <w:gridSpan w:val="3"/>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监测设备及型号</w:t>
            </w: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监测设备安装位置</w:t>
            </w:r>
          </w:p>
        </w:tc>
        <w:tc>
          <w:tcPr>
            <w:tcW w:w="851"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监测频次</w:t>
            </w:r>
          </w:p>
        </w:tc>
        <w:tc>
          <w:tcPr>
            <w:tcW w:w="992"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监测设备精度</w:t>
            </w:r>
          </w:p>
        </w:tc>
        <w:tc>
          <w:tcPr>
            <w:tcW w:w="845" w:type="dxa"/>
            <w:tcBorders>
              <w:top w:val="single" w:color="auto" w:sz="4" w:space="0"/>
              <w:left w:val="single" w:color="auto" w:sz="4" w:space="0"/>
              <w:bottom w:val="single" w:color="auto" w:sz="4" w:space="0"/>
              <w:right w:val="single" w:color="auto" w:sz="4" w:space="0"/>
            </w:tcBorders>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ascii="Times New Roman" w:hAnsi="Times New Roman"/>
                <w:kern w:val="0"/>
                <w:sz w:val="18"/>
                <w:szCs w:val="18"/>
              </w:rPr>
            </w:pPr>
            <w:r>
              <w:rPr>
                <w:rFonts w:ascii="Times New Roman" w:hAnsi="Times New Roman"/>
                <w:kern w:val="0"/>
                <w:sz w:val="18"/>
                <w:szCs w:val="18"/>
              </w:rPr>
              <w:t>规定的监测设备校准频次</w:t>
            </w:r>
          </w:p>
        </w:tc>
        <w:tc>
          <w:tcPr>
            <w:tcW w:w="714" w:type="dxa"/>
            <w:gridSpan w:val="2"/>
            <w:vMerge w:val="continue"/>
            <w:tcBorders>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hint="eastAsia" w:ascii="Times New Roman" w:hAnsi="Times New Roman"/>
                <w:kern w:val="0"/>
                <w:sz w:val="18"/>
                <w:szCs w:val="18"/>
              </w:rPr>
              <w:t>净购入使用的热量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购入</w:t>
            </w:r>
            <w:r>
              <w:rPr>
                <w:rFonts w:hint="eastAsia" w:ascii="Times New Roman" w:hAnsi="Times New Roman"/>
                <w:kern w:val="0"/>
                <w:sz w:val="18"/>
                <w:szCs w:val="18"/>
              </w:rPr>
              <w:t>的总</w:t>
            </w:r>
            <w:r>
              <w:rPr>
                <w:rFonts w:ascii="Times New Roman" w:hAnsi="Times New Roman"/>
                <w:kern w:val="0"/>
                <w:sz w:val="18"/>
                <w:szCs w:val="18"/>
              </w:rPr>
              <w:t>热</w:t>
            </w:r>
            <w:r>
              <w:rPr>
                <w:rFonts w:hint="eastAsia" w:ascii="Times New Roman" w:hAnsi="Times New Roman"/>
                <w:kern w:val="0"/>
                <w:sz w:val="18"/>
                <w:szCs w:val="18"/>
              </w:rPr>
              <w:t>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输出</w:t>
            </w:r>
            <w:r>
              <w:rPr>
                <w:rFonts w:hint="eastAsia" w:ascii="Times New Roman" w:hAnsi="Times New Roman"/>
                <w:kern w:val="0"/>
                <w:sz w:val="18"/>
                <w:szCs w:val="18"/>
              </w:rPr>
              <w:t>的总</w:t>
            </w:r>
            <w:r>
              <w:rPr>
                <w:rFonts w:ascii="Times New Roman" w:hAnsi="Times New Roman"/>
                <w:kern w:val="0"/>
                <w:sz w:val="18"/>
                <w:szCs w:val="18"/>
              </w:rPr>
              <w:t>热</w:t>
            </w:r>
            <w:r>
              <w:rPr>
                <w:rFonts w:hint="eastAsia" w:ascii="Times New Roman" w:hAnsi="Times New Roman"/>
                <w:kern w:val="0"/>
                <w:sz w:val="18"/>
                <w:szCs w:val="18"/>
              </w:rPr>
              <w:t>量</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122" w:type="dxa"/>
            <w:gridSpan w:val="3"/>
            <w:tcBorders>
              <w:top w:val="single" w:color="auto" w:sz="4" w:space="0"/>
              <w:left w:val="single" w:color="auto" w:sz="4" w:space="0"/>
              <w:bottom w:val="single" w:color="auto" w:sz="4" w:space="0"/>
              <w:right w:val="single" w:color="auto" w:sz="4" w:space="0"/>
            </w:tcBorders>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电力排放因子</w:t>
            </w:r>
          </w:p>
        </w:tc>
        <w:tc>
          <w:tcPr>
            <w:tcW w:w="127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r>
              <w:rPr>
                <w:rFonts w:ascii="Times New Roman" w:hAnsi="Times New Roman"/>
                <w:sz w:val="18"/>
                <w:szCs w:val="18"/>
              </w:rPr>
              <w:t>tCO</w:t>
            </w:r>
            <w:r>
              <w:rPr>
                <w:rFonts w:ascii="Times New Roman" w:hAnsi="Times New Roman"/>
                <w:sz w:val="18"/>
                <w:szCs w:val="18"/>
                <w:vertAlign w:val="subscript"/>
              </w:rPr>
              <w:t>2</w:t>
            </w:r>
            <w:r>
              <w:rPr>
                <w:rFonts w:ascii="Times New Roman" w:hAnsi="Times New Roman"/>
                <w:sz w:val="18"/>
                <w:szCs w:val="18"/>
              </w:rPr>
              <w:t>/GJ</w:t>
            </w:r>
          </w:p>
        </w:tc>
        <w:tc>
          <w:tcPr>
            <w:tcW w:w="4253"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84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1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c>
          <w:tcPr>
            <w:tcW w:w="70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textAlignment w:val="auto"/>
              <w:rPr>
                <w:rFonts w:ascii="Times New Roman" w:hAnsi="Times New Roman"/>
                <w:sz w:val="18"/>
                <w:szCs w:val="18"/>
              </w:rPr>
            </w:pPr>
          </w:p>
        </w:tc>
      </w:tr>
    </w:tbl>
    <w:p>
      <w:pPr>
        <w:keepNext w:val="0"/>
        <w:keepLines w:val="0"/>
        <w:pageBreakBefore w:val="0"/>
        <w:widowControl/>
        <w:kinsoku/>
        <w:wordWrap/>
        <w:overflowPunct/>
        <w:topLinePunct w:val="0"/>
        <w:autoSpaceDE/>
        <w:autoSpaceDN/>
        <w:bidi w:val="0"/>
        <w:adjustRightInd/>
        <w:spacing w:line="240" w:lineRule="auto"/>
        <w:ind w:firstLine="0" w:firstLineChars="0"/>
        <w:jc w:val="left"/>
        <w:textAlignment w:val="auto"/>
        <w:rPr>
          <w:rFonts w:ascii="Times New Roman" w:hAnsi="Times New Roman"/>
          <w:kern w:val="0"/>
          <w:szCs w:val="20"/>
        </w:rPr>
      </w:pPr>
    </w:p>
    <w:p>
      <w:pPr>
        <w:tabs>
          <w:tab w:val="left" w:pos="1095"/>
        </w:tabs>
        <w:rPr>
          <w:rFonts w:ascii="Times New Roman" w:hAnsi="Times New Roman"/>
          <w:kern w:val="0"/>
          <w:szCs w:val="20"/>
        </w:rPr>
        <w:sectPr>
          <w:headerReference r:id="rId11" w:type="default"/>
          <w:footerReference r:id="rId13" w:type="default"/>
          <w:headerReference r:id="rId12" w:type="even"/>
          <w:footerReference r:id="rId14" w:type="even"/>
          <w:pgSz w:w="16838" w:h="11906" w:orient="landscape"/>
          <w:pgMar w:top="1134" w:right="1871" w:bottom="1134" w:left="1134" w:header="1418" w:footer="1247" w:gutter="284"/>
          <w:cols w:space="425" w:num="1"/>
          <w:formProt w:val="0"/>
          <w:docGrid w:type="lines" w:linePitch="312" w:charSpace="0"/>
        </w:sectPr>
      </w:pPr>
    </w:p>
    <w:tbl>
      <w:tblPr>
        <w:tblStyle w:val="1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D9D9D9"/>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sz w:val="18"/>
                <w:szCs w:val="18"/>
              </w:rPr>
              <w:br w:type="page"/>
            </w:r>
            <w:r>
              <w:rPr>
                <w:rFonts w:ascii="Times New Roman" w:hAnsi="Times New Roman"/>
                <w:kern w:val="0"/>
                <w:sz w:val="18"/>
                <w:szCs w:val="18"/>
              </w:rPr>
              <w:t>E数据内部质量控制和质量保证相关规定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至少包括如下内容：</w:t>
            </w:r>
          </w:p>
          <w:p>
            <w:pPr>
              <w:keepNext w:val="0"/>
              <w:keepLines w:val="0"/>
              <w:pageBreakBefore w:val="0"/>
              <w:widowControl/>
              <w:numPr>
                <w:ilvl w:val="0"/>
                <w:numId w:val="15"/>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hint="eastAsia" w:ascii="Times New Roman" w:hAnsi="Times New Roman"/>
                <w:kern w:val="0"/>
                <w:sz w:val="18"/>
                <w:szCs w:val="18"/>
              </w:rPr>
              <w:t>温室气体排放</w:t>
            </w:r>
            <w:r>
              <w:rPr>
                <w:rFonts w:ascii="Times New Roman" w:hAnsi="Times New Roman"/>
                <w:kern w:val="0"/>
                <w:sz w:val="18"/>
                <w:szCs w:val="18"/>
              </w:rPr>
              <w:t>数据质量控制计划制定、</w:t>
            </w:r>
            <w:r>
              <w:rPr>
                <w:rFonts w:hint="eastAsia" w:ascii="Times New Roman" w:hAnsi="Times New Roman"/>
                <w:kern w:val="0"/>
                <w:sz w:val="18"/>
                <w:szCs w:val="18"/>
              </w:rPr>
              <w:t>温室气体排放</w:t>
            </w:r>
            <w:r>
              <w:rPr>
                <w:rFonts w:ascii="Times New Roman" w:hAnsi="Times New Roman"/>
                <w:kern w:val="0"/>
                <w:sz w:val="18"/>
                <w:szCs w:val="18"/>
              </w:rPr>
              <w:t>报告专门人员的指定情况；</w:t>
            </w:r>
          </w:p>
          <w:p>
            <w:pPr>
              <w:keepNext w:val="0"/>
              <w:keepLines w:val="0"/>
              <w:pageBreakBefore w:val="0"/>
              <w:widowControl/>
              <w:numPr>
                <w:ilvl w:val="0"/>
                <w:numId w:val="15"/>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ascii="Times New Roman" w:hAnsi="Times New Roman"/>
                <w:kern w:val="0"/>
                <w:sz w:val="18"/>
                <w:szCs w:val="18"/>
              </w:rPr>
              <w:t>数据质量控制计划的制定、修订、审批以及执行等的管理程序；</w:t>
            </w:r>
          </w:p>
          <w:p>
            <w:pPr>
              <w:keepNext w:val="0"/>
              <w:keepLines w:val="0"/>
              <w:pageBreakBefore w:val="0"/>
              <w:widowControl/>
              <w:numPr>
                <w:ilvl w:val="0"/>
                <w:numId w:val="15"/>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hint="eastAsia" w:ascii="Times New Roman" w:hAnsi="Times New Roman"/>
                <w:kern w:val="0"/>
                <w:sz w:val="18"/>
                <w:szCs w:val="18"/>
              </w:rPr>
              <w:t>温室气体</w:t>
            </w:r>
            <w:r>
              <w:rPr>
                <w:rFonts w:ascii="Times New Roman" w:hAnsi="Times New Roman"/>
                <w:kern w:val="0"/>
                <w:sz w:val="18"/>
                <w:szCs w:val="18"/>
              </w:rPr>
              <w:t>排放报告的编写、内部评估以及审批等管理程序；</w:t>
            </w:r>
          </w:p>
          <w:p>
            <w:pPr>
              <w:keepNext w:val="0"/>
              <w:keepLines w:val="0"/>
              <w:pageBreakBefore w:val="0"/>
              <w:widowControl/>
              <w:numPr>
                <w:ilvl w:val="0"/>
                <w:numId w:val="15"/>
              </w:numPr>
              <w:kinsoku/>
              <w:wordWrap/>
              <w:overflowPunct/>
              <w:topLinePunct w:val="0"/>
              <w:autoSpaceDE/>
              <w:autoSpaceDN/>
              <w:bidi w:val="0"/>
              <w:adjustRightInd/>
              <w:snapToGrid w:val="0"/>
              <w:spacing w:line="240" w:lineRule="auto"/>
              <w:ind w:left="0" w:firstLine="0" w:firstLineChars="0"/>
              <w:textAlignment w:val="auto"/>
              <w:rPr>
                <w:rFonts w:ascii="Times New Roman" w:hAnsi="Times New Roman"/>
                <w:kern w:val="0"/>
                <w:sz w:val="18"/>
                <w:szCs w:val="18"/>
              </w:rPr>
            </w:pPr>
            <w:r>
              <w:rPr>
                <w:rFonts w:hint="eastAsia" w:ascii="Times New Roman" w:hAnsi="Times New Roman"/>
                <w:kern w:val="0"/>
                <w:sz w:val="18"/>
                <w:szCs w:val="18"/>
              </w:rPr>
              <w:t>温室气体排放</w:t>
            </w:r>
            <w:r>
              <w:rPr>
                <w:rFonts w:ascii="Times New Roman" w:hAnsi="Times New Roman"/>
                <w:kern w:val="0"/>
                <w:sz w:val="18"/>
                <w:szCs w:val="18"/>
              </w:rPr>
              <w:t>数据文件的归档管理程序等内容。</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（如不能全部描述可增加附件说明）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1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填报人：</w:t>
            </w:r>
          </w:p>
        </w:tc>
        <w:tc>
          <w:tcPr>
            <w:tcW w:w="482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填报时间：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81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内部审核人：</w:t>
            </w:r>
          </w:p>
        </w:tc>
        <w:tc>
          <w:tcPr>
            <w:tcW w:w="482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审核时间：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639" w:type="dxa"/>
            <w:gridSpan w:val="2"/>
            <w:tcBorders>
              <w:top w:val="single" w:color="auto" w:sz="4" w:space="0"/>
              <w:left w:val="single" w:color="auto" w:sz="4" w:space="0"/>
              <w:bottom w:val="single" w:color="auto" w:sz="4" w:space="0"/>
              <w:right w:val="single" w:color="auto" w:sz="4" w:space="0"/>
            </w:tcBorders>
            <w:shd w:val="clear" w:color="auto" w:fill="FFFFFF"/>
            <w:tcMar>
              <w:top w:w="15" w:type="dxa"/>
              <w:left w:w="15" w:type="dxa"/>
              <w:bottom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r>
              <w:rPr>
                <w:rFonts w:ascii="Times New Roman" w:hAnsi="Times New Roman"/>
                <w:kern w:val="0"/>
                <w:sz w:val="18"/>
                <w:szCs w:val="18"/>
              </w:rPr>
              <w:t>填报单位盖章</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ascii="Times New Roman" w:hAnsi="Times New Roman"/>
                <w:kern w:val="0"/>
                <w:sz w:val="18"/>
                <w:szCs w:val="18"/>
              </w:rPr>
            </w:pPr>
          </w:p>
        </w:tc>
      </w:tr>
    </w:tbl>
    <w:p>
      <w:pPr>
        <w:pStyle w:val="44"/>
        <w:ind w:firstLine="420"/>
        <w:rPr>
          <w:rFonts w:ascii="Times New Roman"/>
        </w:rPr>
      </w:pPr>
    </w:p>
    <w:sectPr>
      <w:headerReference r:id="rId15" w:type="default"/>
      <w:footerReference r:id="rId1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CAA775-4E2B-4554-9D82-B8D8E3EB1B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F873F9CD-3F5A-4F0A-9EB8-47191E47C1F5}"/>
  </w:font>
  <w:font w:name="仿宋">
    <w:panose1 w:val="02010609060101010101"/>
    <w:charset w:val="86"/>
    <w:family w:val="auto"/>
    <w:pitch w:val="default"/>
    <w:sig w:usb0="800002BF" w:usb1="38CF7CFA" w:usb2="00000016" w:usb3="00000000" w:csb0="00040001" w:csb1="00000000"/>
    <w:embedRegular r:id="rId3" w:fontKey="{2B20F37A-1CD7-4CF1-9D17-97F2A10C7E5D}"/>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embedRegular r:id="rId4" w:fontKey="{8F15AD8B-D027-4394-BCE9-6EF4A7B7F5A4}"/>
  </w:font>
  <w:font w:name="微软雅黑">
    <w:panose1 w:val="020B0503020204020204"/>
    <w:charset w:val="86"/>
    <w:family w:val="swiss"/>
    <w:pitch w:val="default"/>
    <w:sig w:usb0="80000287" w:usb1="2ACF3C50" w:usb2="00000016" w:usb3="00000000" w:csb0="0004001F" w:csb1="00000000"/>
    <w:embedRegular r:id="rId5" w:fontKey="{34B2933F-2E5C-486A-A1A3-E14C46B08515}"/>
  </w:font>
  <w:font w:name="方正仿宋_GB2312">
    <w:panose1 w:val="02000000000000000000"/>
    <w:charset w:val="86"/>
    <w:family w:val="auto"/>
    <w:pitch w:val="default"/>
    <w:sig w:usb0="A00002BF" w:usb1="184F6CFA" w:usb2="00000012" w:usb3="00000000" w:csb0="00040001" w:csb1="00000000"/>
    <w:embedRegular r:id="rId6" w:fontKey="{76A1E88C-A682-42ED-A579-E7ADEF71D774}"/>
  </w:font>
  <w:font w:name="新宋体">
    <w:panose1 w:val="02010609030101010101"/>
    <w:charset w:val="86"/>
    <w:family w:val="auto"/>
    <w:pitch w:val="default"/>
    <w:sig w:usb0="00000203" w:usb1="288F0000" w:usb2="00000006" w:usb3="00000000" w:csb0="00040001" w:csb1="00000000"/>
    <w:embedRegular r:id="rId7" w:fontKey="{C67FDEE2-A421-4075-B011-C8DBFBEDBE30}"/>
  </w:font>
  <w:font w:name="方正仿宋简体">
    <w:panose1 w:val="02000000000000000000"/>
    <w:charset w:val="86"/>
    <w:family w:val="auto"/>
    <w:pitch w:val="default"/>
    <w:sig w:usb0="A00002BF" w:usb1="184F6CFA" w:usb2="00000012" w:usb3="00000000" w:csb0="00040001" w:csb1="00000000"/>
    <w:embedRegular r:id="rId8" w:fontKey="{A652B799-3A1B-4D9B-8DFC-C9C163E1CB0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ind w:right="360"/>
      <w:rPr>
        <w:rStyle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ind w:right="360"/>
      <w:rPr>
        <w:rStyle w:val="14"/>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ind w:right="360"/>
      <w:rPr>
        <w:rStyle w:val="14"/>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mc:AlternateContent>
        <mc:Choice Requires="wps">
          <w:drawing>
            <wp:anchor distT="0" distB="0" distL="114300" distR="114300" simplePos="0" relativeHeight="251670528" behindDoc="0" locked="0" layoutInCell="1" allowOverlap="1">
              <wp:simplePos x="0" y="0"/>
              <wp:positionH relativeFrom="page">
                <wp:posOffset>719455</wp:posOffset>
              </wp:positionH>
              <wp:positionV relativeFrom="page">
                <wp:posOffset>6539230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46"/>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eaVert" wrap="none" lIns="91440" tIns="45720" rIns="91440" bIns="4572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514.9pt;height:144pt;width:144pt;mso-position-horizontal-relative:page;mso-position-vertical-relative:page;mso-wrap-style:none;z-index:251670528;v-text-anchor:bottom;mso-width-relative:page;mso-height-relative:page;" filled="f" stroked="f" coordsize="21600,21600" o:gfxdata="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dursa2QAAAA0BAAAPAAAAAAAAAAEAIAAAACIAAABkcnMvZG93&#10;bnJldi54bWxQSwECFAAUAAAACACHTuJApGlbbTgCAABnBAAADgAAAAAAAAABACAAAAAoAQAAZHJz&#10;L2Uyb0RvYy54bWxQSwUGAAAAAAYABgBZAQAA0gUAAAAA&#10;">
              <v:fill on="f" focussize="0,0"/>
              <v:stroke on="f" weight="0.5pt"/>
              <v:imagedata o:title=""/>
              <o:lock v:ext="edit" aspectratio="f"/>
              <v:textbox style="layout-flow:vertical-ideographic;mso-fit-shape-to-text:t;">
                <w:txbxContent>
                  <w:p>
                    <w:pPr>
                      <w:pStyle w:val="46"/>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72576" behindDoc="0" locked="0" layoutInCell="1" allowOverlap="1">
              <wp:simplePos x="0" y="0"/>
              <wp:positionH relativeFrom="page">
                <wp:posOffset>719455</wp:posOffset>
              </wp:positionH>
              <wp:positionV relativeFrom="page">
                <wp:posOffset>863600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56.65pt;margin-top:68pt;height:144pt;width:144pt;mso-position-horizontal-relative:page;mso-position-vertical-relative:page;mso-wrap-style:none;z-index:251672576;v-text-anchor:bottom;mso-width-relative:page;mso-height-relative:page;" filled="f" stroked="f" coordsize="21600,21600" o:gfxdata="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EgYhOXWAAAACwEAAA8AAAAAAAAAAQAgAAAAIgAAAGRycy9kb3ducmV2LnhtbFBLAQIU&#10;ABQAAAAIAIdO4kBIhW8GLgIAAFkEAAAOAAAAAAAAAAEAIAAAACUBAABkcnMvZTJvRG9jLnhtbFBL&#10;BQYAAAAABgAGAFkBAADFBQAAAAA=&#10;">
              <v:fill on="f" focussize="0,0"/>
              <v:stroke on="f" weight="0.5pt"/>
              <v:imagedata o:title=""/>
              <o:lock v:ext="edit" aspectratio="f"/>
              <v:textbox inset="0mm,0mm,0mm,0mm" style="layout-flow:vertical-ideographic;mso-fit-shape-to-text:t;">
                <w:txbxContent>
                  <w:p>
                    <w:pPr>
                      <w:pStyle w:val="6"/>
                    </w:pPr>
                    <w:r>
                      <w:fldChar w:fldCharType="begin"/>
                    </w:r>
                    <w:r>
                      <w:instrText xml:space="preserve">PAGE   \* MERGEFORMAT</w:instrText>
                    </w:r>
                    <w:r>
                      <w:fldChar w:fldCharType="separate"/>
                    </w:r>
                    <w:r>
                      <w:rPr>
                        <w:lang w:val="zh-CN"/>
                      </w:rPr>
                      <w:t>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4">
    <w:p>
      <w:pPr>
        <w:spacing w:line="360" w:lineRule="auto"/>
        <w:ind w:firstLine="480"/>
      </w:pPr>
      <w:r>
        <w:separator/>
      </w:r>
    </w:p>
  </w:footnote>
  <w:footnote w:type="continuationSeparator" w:id="15">
    <w:p>
      <w:pPr>
        <w:spacing w:line="360" w:lineRule="auto"/>
        <w:ind w:firstLine="480"/>
      </w:pPr>
      <w:r>
        <w:continuationSeparator/>
      </w:r>
    </w:p>
  </w:footnote>
  <w:footnote w:id="0">
    <w:p>
      <w:pPr>
        <w:pStyle w:val="9"/>
        <w:ind w:left="420" w:firstLine="0" w:firstLineChars="0"/>
        <w:rPr>
          <w:rFonts w:ascii="Times New Roman"/>
        </w:rPr>
      </w:pPr>
      <w:r>
        <w:rPr>
          <w:rStyle w:val="15"/>
          <w:rFonts w:ascii="Times New Roman"/>
        </w:rPr>
        <w:footnoteRef/>
      </w:r>
      <w:r>
        <w:rPr>
          <w:rFonts w:ascii="Times New Roman"/>
        </w:rPr>
        <w:t xml:space="preserve">  </w:t>
      </w:r>
      <w:r>
        <w:rPr>
          <w:rFonts w:hint="eastAsia" w:ascii="Times New Roman"/>
        </w:rPr>
        <w:t>本指南所称存量常规水电是指</w:t>
      </w:r>
      <w:r>
        <w:rPr>
          <w:rFonts w:ascii="Times New Roman"/>
        </w:rPr>
        <w:t>2023</w:t>
      </w:r>
      <w:r>
        <w:rPr>
          <w:rFonts w:hint="eastAsia" w:ascii="Times New Roman"/>
        </w:rPr>
        <w:t>年</w:t>
      </w:r>
      <w:r>
        <w:rPr>
          <w:rFonts w:ascii="Times New Roman"/>
        </w:rPr>
        <w:t>1</w:t>
      </w:r>
      <w:r>
        <w:rPr>
          <w:rFonts w:hint="eastAsia" w:ascii="Times New Roman"/>
        </w:rPr>
        <w:t>月</w:t>
      </w:r>
      <w:r>
        <w:rPr>
          <w:rFonts w:ascii="Times New Roman"/>
        </w:rPr>
        <w:t>1</w:t>
      </w:r>
      <w:r>
        <w:rPr>
          <w:rFonts w:hint="eastAsia" w:ascii="Times New Roman"/>
        </w:rPr>
        <w:t>日之前投产的水电项目。</w:t>
      </w:r>
    </w:p>
  </w:footnote>
  <w:footnote w:id="1">
    <w:p>
      <w:pPr>
        <w:pStyle w:val="9"/>
        <w:numPr>
          <w:ilvl w:val="0"/>
          <w:numId w:val="10"/>
        </w:numPr>
        <w:spacing w:line="240" w:lineRule="auto"/>
        <w:ind w:leftChars="0" w:firstLineChars="0"/>
        <w:rPr>
          <w:rFonts w:hAnsi="宋体"/>
        </w:rPr>
      </w:pPr>
      <w:r>
        <w:rPr>
          <w:rStyle w:val="15"/>
        </w:rPr>
        <w:footnoteRef/>
      </w:r>
      <w:r>
        <w:rPr>
          <w:rFonts w:hint="eastAsia" w:hAnsi="宋体"/>
        </w:rPr>
        <w:t>按行业核算方法和报告要求中的“核算边界”章节的要求具体描述。</w:t>
      </w:r>
    </w:p>
  </w:footnote>
  <w:footnote w:id="2">
    <w:p>
      <w:pPr>
        <w:pStyle w:val="9"/>
        <w:numPr>
          <w:ilvl w:val="0"/>
          <w:numId w:val="10"/>
        </w:numPr>
        <w:spacing w:line="240" w:lineRule="auto"/>
        <w:ind w:leftChars="0" w:firstLineChars="0"/>
        <w:rPr>
          <w:rFonts w:hAnsi="宋体"/>
        </w:rPr>
      </w:pPr>
      <w:r>
        <w:rPr>
          <w:rStyle w:val="15"/>
        </w:rPr>
        <w:footnoteRef/>
      </w:r>
      <w:r>
        <w:rPr>
          <w:rFonts w:hint="eastAsia" w:hAnsi="宋体"/>
        </w:rPr>
        <w:t>对于同一设施同时涉及5</w:t>
      </w:r>
      <w:r>
        <w:rPr>
          <w:rFonts w:hAnsi="宋体"/>
        </w:rPr>
        <w:t>.1/</w:t>
      </w:r>
      <w:r>
        <w:rPr>
          <w:rFonts w:hint="eastAsia" w:hAnsi="宋体"/>
        </w:rPr>
        <w:t>5</w:t>
      </w:r>
      <w:r>
        <w:rPr>
          <w:rFonts w:hAnsi="宋体"/>
        </w:rPr>
        <w:t>.2/</w:t>
      </w:r>
      <w:r>
        <w:rPr>
          <w:rFonts w:hint="eastAsia" w:hAnsi="宋体"/>
        </w:rPr>
        <w:t>5</w:t>
      </w:r>
      <w:r>
        <w:rPr>
          <w:rFonts w:hAnsi="宋体"/>
        </w:rPr>
        <w:t>.3</w:t>
      </w:r>
      <w:r>
        <w:rPr>
          <w:rFonts w:hint="eastAsia" w:hAnsi="宋体"/>
        </w:rPr>
        <w:t>类排放的，需要在各类排放设施中重复填写。</w:t>
      </w:r>
    </w:p>
  </w:footnote>
  <w:footnote w:id="3">
    <w:p>
      <w:pPr>
        <w:pStyle w:val="9"/>
        <w:numPr>
          <w:ilvl w:val="0"/>
          <w:numId w:val="10"/>
        </w:numPr>
        <w:spacing w:line="240" w:lineRule="auto"/>
        <w:ind w:leftChars="0" w:firstLineChars="0"/>
        <w:rPr>
          <w:rFonts w:hAnsi="宋体"/>
        </w:rPr>
      </w:pPr>
      <w:r>
        <w:rPr>
          <w:rStyle w:val="15"/>
        </w:rPr>
        <w:footnoteRef/>
      </w:r>
      <w:r>
        <w:rPr>
          <w:rFonts w:hint="eastAsia" w:hAnsi="宋体"/>
        </w:rPr>
        <w:t>例如燃煤过程产生的二氧化碳排放。</w:t>
      </w:r>
    </w:p>
  </w:footnote>
  <w:footnote w:id="4">
    <w:p>
      <w:pPr>
        <w:pStyle w:val="9"/>
        <w:numPr>
          <w:ilvl w:val="0"/>
          <w:numId w:val="10"/>
        </w:numPr>
        <w:spacing w:line="240" w:lineRule="auto"/>
        <w:ind w:leftChars="0" w:firstLineChars="0"/>
      </w:pPr>
      <w:r>
        <w:rPr>
          <w:rStyle w:val="15"/>
        </w:rPr>
        <w:footnoteRef/>
      </w:r>
      <w:r>
        <w:rPr>
          <w:rFonts w:hint="eastAsia" w:hAnsi="宋体"/>
        </w:rPr>
        <w:t>该类设施，特别是耗电设施，只需填写主要设施即可，例如耗电量较小的照明设施可不填写。</w:t>
      </w:r>
    </w:p>
  </w:footnote>
  <w:footnote w:id="5">
    <w:p>
      <w:pPr>
        <w:pStyle w:val="9"/>
        <w:numPr>
          <w:ilvl w:val="0"/>
          <w:numId w:val="10"/>
        </w:numPr>
        <w:spacing w:line="240" w:lineRule="auto"/>
        <w:ind w:leftChars="0" w:firstLineChars="0"/>
        <w:rPr>
          <w:rFonts w:hAnsi="宋体"/>
        </w:rPr>
      </w:pPr>
      <w:r>
        <w:rPr>
          <w:rStyle w:val="15"/>
        </w:rPr>
        <w:footnoteRef/>
      </w:r>
      <w:r>
        <w:rPr>
          <w:rFonts w:hint="eastAsia" w:hAnsi="宋体"/>
        </w:rPr>
        <w:t>如果报告数据是由若干个参数通过一定的计算方法计算得出，需要填写计算公式以及计算公式中的每一个参数的获取方式。</w:t>
      </w:r>
    </w:p>
  </w:footnote>
  <w:footnote w:id="6">
    <w:p>
      <w:pPr>
        <w:pStyle w:val="9"/>
        <w:numPr>
          <w:ilvl w:val="0"/>
          <w:numId w:val="10"/>
        </w:numPr>
        <w:spacing w:line="240" w:lineRule="auto"/>
        <w:ind w:leftChars="0" w:firstLineChars="0"/>
        <w:rPr>
          <w:rFonts w:eastAsia="方正仿宋简体"/>
        </w:rPr>
      </w:pPr>
      <w:r>
        <w:rPr>
          <w:rStyle w:val="15"/>
        </w:rPr>
        <w:footnoteRef/>
      </w:r>
      <w:r>
        <w:rPr>
          <w:rFonts w:hint="eastAsia" w:hAnsi="宋体"/>
        </w:rPr>
        <w:t>填报时请列明具体的燃料名称，同一燃料品种仅需填报一次；如果有多个设施消耗同一种燃料，请在“数据的计算方法及获取方式”中对“消耗量”、“低位发热量”、“单位热值含碳量”、“含碳量”“碳氧化率”等参数进行详细描述，不同设施的同一燃料相关信息应分别列明。</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rFonts w:hint="eastAsia"/>
        <w:lang w:val="en-US" w:eastAsia="zh-CN"/>
      </w:rPr>
      <w:t>GB</w:t>
    </w:r>
    <w:r>
      <w:rPr>
        <w:rFonts w:hint="eastAsia"/>
      </w:rPr>
      <w:t>/T 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spacing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mc:AlternateContent>
        <mc:Choice Requires="wps">
          <w:drawing>
            <wp:anchor distT="0" distB="0" distL="114300" distR="114300" simplePos="0" relativeHeight="251671552" behindDoc="0" locked="0" layoutInCell="1" allowOverlap="1">
              <wp:simplePos x="0" y="0"/>
              <wp:positionH relativeFrom="page">
                <wp:posOffset>9719945</wp:posOffset>
              </wp:positionH>
              <wp:positionV relativeFrom="page">
                <wp:posOffset>899795</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pPr>
                            <w:pStyle w:val="60"/>
                          </w:pPr>
                          <w:r>
                            <w:fldChar w:fldCharType="begin"/>
                          </w:r>
                          <w:r>
                            <w:instrText xml:space="preserve"> STYLEREF  标准文件_文件编号 \* MERGEFORMAT </w:instrText>
                          </w:r>
                          <w:r>
                            <w:fldChar w:fldCharType="separate"/>
                          </w:r>
                          <w:r>
                            <w:rPr>
                              <w:b/>
                            </w:rPr>
                            <w:t>错误！未定义样式。</w:t>
                          </w:r>
                          <w:r>
                            <w:fldChar w:fldCharType="end"/>
                          </w:r>
                        </w:p>
                      </w:txbxContent>
                    </wps:txbx>
                    <wps:bodyPr rot="0" spcFirstLastPara="0" vertOverflow="overflow" horzOverflow="overflow" vert="eaVert" wrap="none" lIns="0" tIns="0" rIns="0" bIns="0" numCol="1" spcCol="0" rtlCol="0" fromWordArt="0" anchor="b" anchorCtr="0" forceAA="0" compatLnSpc="1">
                      <a:spAutoFit/>
                    </wps:bodyPr>
                  </wps:wsp>
                </a:graphicData>
              </a:graphic>
            </wp:anchor>
          </w:drawing>
        </mc:Choice>
        <mc:Fallback>
          <w:pict>
            <v:shape id="_x0000_s1026" o:spid="_x0000_s1026" o:spt="202" type="#_x0000_t202" style="position:absolute;left:0pt;margin-left:765.35pt;margin-top:70.85pt;height:144pt;width:144pt;mso-position-horizontal-relative:page;mso-position-vertical-relative:page;mso-wrap-style:none;z-index:251671552;v-text-anchor:bottom;mso-width-relative:page;mso-height-relative:page;" filled="f" stroked="f" coordsize="21600,21600" o:gfxdata="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Esi7HNkAAAANAQAADwAAAAAAAAABACAAAAAiAAAAZHJzL2Rvd25yZXYueG1sUEsB&#10;AhQAFAAAAAgAh07iQCrmw5stAgAAVwQAAA4AAAAAAAAAAQAgAAAAKAEAAGRycy9lMm9Eb2MueG1s&#10;UEsFBgAAAAAGAAYAWQEAAMcFAAAAAA==&#10;">
              <v:fill on="f" focussize="0,0"/>
              <v:stroke on="f" weight="0.5pt"/>
              <v:imagedata o:title=""/>
              <o:lock v:ext="edit" aspectratio="f"/>
              <v:textbox inset="0mm,0mm,0mm,0mm" style="layout-flow:vertical-ideographic;mso-fit-shape-to-text:t;">
                <w:txbxContent>
                  <w:p>
                    <w:pPr>
                      <w:pStyle w:val="60"/>
                    </w:pPr>
                    <w:r>
                      <w:fldChar w:fldCharType="begin"/>
                    </w:r>
                    <w:r>
                      <w:instrText xml:space="preserve"> STYLEREF  标准文件_文件编号 \* MERGEFORMAT </w:instrText>
                    </w:r>
                    <w:r>
                      <w:fldChar w:fldCharType="separate"/>
                    </w:r>
                    <w:r>
                      <w:rPr>
                        <w:b/>
                      </w:rPr>
                      <w:t>错误！未定义样式。</w:t>
                    </w:r>
                    <w:r>
                      <w:fldChar w:fldCharType="end"/>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decimal"/>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
    <w:nsid w:val="0000000D"/>
    <w:multiLevelType w:val="multilevel"/>
    <w:tmpl w:val="0000000D"/>
    <w:lvl w:ilvl="0" w:tentative="0">
      <w:start w:val="5"/>
      <w:numFmt w:val="bullet"/>
      <w:lvlText w:val="−"/>
      <w:lvlJc w:val="left"/>
      <w:pPr>
        <w:ind w:left="630" w:hanging="420"/>
      </w:pPr>
      <w:rPr>
        <w:rFonts w:hint="default" w:ascii="Times New Roman" w:hAnsi="Times New Roman" w:eastAsia="微软雅黑"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00000011"/>
    <w:multiLevelType w:val="multilevel"/>
    <w:tmpl w:val="0000001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00000019"/>
    <w:multiLevelType w:val="multilevel"/>
    <w:tmpl w:val="00000019"/>
    <w:lvl w:ilvl="0" w:tentative="0">
      <w:start w:val="1"/>
      <w:numFmt w:val="decimal"/>
      <w:lvlText w:val="%1."/>
      <w:lvlJc w:val="left"/>
      <w:pPr>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7ED3FEA"/>
    <w:multiLevelType w:val="multilevel"/>
    <w:tmpl w:val="07ED3FEA"/>
    <w:lvl w:ilvl="0" w:tentative="0">
      <w:start w:val="1"/>
      <w:numFmt w:val="none"/>
      <w:pStyle w:val="43"/>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1FC91163"/>
    <w:multiLevelType w:val="multilevel"/>
    <w:tmpl w:val="1FC91163"/>
    <w:lvl w:ilvl="0" w:tentative="0">
      <w:start w:val="1"/>
      <w:numFmt w:val="decimal"/>
      <w:pStyle w:val="2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44C50F90"/>
    <w:multiLevelType w:val="multilevel"/>
    <w:tmpl w:val="44C50F90"/>
    <w:lvl w:ilvl="0" w:tentative="0">
      <w:start w:val="1"/>
      <w:numFmt w:val="lowerLetter"/>
      <w:pStyle w:val="55"/>
      <w:lvlText w:val="%1)"/>
      <w:lvlJc w:val="left"/>
      <w:pPr>
        <w:tabs>
          <w:tab w:val="left" w:pos="851"/>
        </w:tabs>
        <w:ind w:left="851" w:hanging="426"/>
      </w:pPr>
      <w:rPr>
        <w:rFonts w:hint="default" w:ascii="Times New Roman" w:hAnsi="Times New Roman" w:eastAsia="宋体" w:cs="Times New Roman"/>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48802D1C"/>
    <w:multiLevelType w:val="multilevel"/>
    <w:tmpl w:val="48802D1C"/>
    <w:lvl w:ilvl="0" w:tentative="0">
      <w:start w:val="1"/>
      <w:numFmt w:val="upperLetter"/>
      <w:pStyle w:val="57"/>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5603797C"/>
    <w:multiLevelType w:val="multilevel"/>
    <w:tmpl w:val="5603797C"/>
    <w:lvl w:ilvl="0" w:tentative="0">
      <w:start w:val="1"/>
      <w:numFmt w:val="upperLetter"/>
      <w:pStyle w:val="58"/>
      <w:suff w:val="space"/>
      <w:lvlText w:val="%1"/>
      <w:lvlJc w:val="left"/>
      <w:pPr>
        <w:ind w:left="425" w:hanging="425"/>
      </w:pPr>
      <w:rPr>
        <w:rFonts w:hint="eastAsia"/>
      </w:rPr>
    </w:lvl>
    <w:lvl w:ilvl="1" w:tentative="0">
      <w:start w:val="1"/>
      <w:numFmt w:val="decimal"/>
      <w:pStyle w:val="56"/>
      <w:suff w:val="space"/>
      <w:lvlText w:val="表%1.%2"/>
      <w:lvlJc w:val="center"/>
      <w:pPr>
        <w:ind w:left="0" w:firstLine="0"/>
      </w:pPr>
      <w:rPr>
        <w:rFonts w:hint="default" w:ascii="Times New Roman" w:hAnsi="Times New Roman" w:eastAsia="黑体" w:cs="Times New Roman"/>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646260FA"/>
    <w:multiLevelType w:val="multilevel"/>
    <w:tmpl w:val="646260FA"/>
    <w:lvl w:ilvl="0" w:tentative="0">
      <w:start w:val="1"/>
      <w:numFmt w:val="decimal"/>
      <w:pStyle w:val="5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57D3FBC"/>
    <w:multiLevelType w:val="multilevel"/>
    <w:tmpl w:val="657D3FBC"/>
    <w:lvl w:ilvl="0" w:tentative="0">
      <w:start w:val="1"/>
      <w:numFmt w:val="upperLetter"/>
      <w:pStyle w:val="59"/>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48"/>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pStyle w:val="47"/>
      <w:suff w:val="nothing"/>
      <w:lvlText w:val="%1%2.%3　"/>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49"/>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pStyle w:val="52"/>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DBF04F4"/>
    <w:multiLevelType w:val="multilevel"/>
    <w:tmpl w:val="6DBF04F4"/>
    <w:lvl w:ilvl="0" w:tentative="0">
      <w:start w:val="1"/>
      <w:numFmt w:val="none"/>
      <w:pStyle w:val="6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5"/>
  </w:num>
  <w:num w:numId="2">
    <w:abstractNumId w:val="4"/>
  </w:num>
  <w:num w:numId="3">
    <w:abstractNumId w:val="11"/>
  </w:num>
  <w:num w:numId="4">
    <w:abstractNumId w:val="9"/>
  </w:num>
  <w:num w:numId="5">
    <w:abstractNumId w:val="6"/>
  </w:num>
  <w:num w:numId="6">
    <w:abstractNumId w:val="8"/>
  </w:num>
  <w:num w:numId="7">
    <w:abstractNumId w:val="7"/>
  </w:num>
  <w:num w:numId="8">
    <w:abstractNumId w:val="10"/>
  </w:num>
  <w:num w:numId="9">
    <w:abstractNumId w:val="12"/>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5">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逍遥/heart">
    <w15:presenceInfo w15:providerId="WPS Office" w15:userId="276743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14"/>
    <w:footnote w:id="15"/>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015A78E1"/>
    <w:rsid w:val="01B57971"/>
    <w:rsid w:val="02535CBD"/>
    <w:rsid w:val="032B1BE2"/>
    <w:rsid w:val="0337084E"/>
    <w:rsid w:val="03715D48"/>
    <w:rsid w:val="039C7D5D"/>
    <w:rsid w:val="04B113EE"/>
    <w:rsid w:val="059814E2"/>
    <w:rsid w:val="06A46ED6"/>
    <w:rsid w:val="06BD160A"/>
    <w:rsid w:val="06D525D3"/>
    <w:rsid w:val="07394FE5"/>
    <w:rsid w:val="07543336"/>
    <w:rsid w:val="085B32F8"/>
    <w:rsid w:val="09645F3F"/>
    <w:rsid w:val="09F2400E"/>
    <w:rsid w:val="0A2C48FB"/>
    <w:rsid w:val="0B7958BA"/>
    <w:rsid w:val="0BAF45BF"/>
    <w:rsid w:val="0BBA762A"/>
    <w:rsid w:val="0C0D5D67"/>
    <w:rsid w:val="0CD07C62"/>
    <w:rsid w:val="0D1644B7"/>
    <w:rsid w:val="0E982D96"/>
    <w:rsid w:val="0FE70717"/>
    <w:rsid w:val="0FEE2C18"/>
    <w:rsid w:val="105C55E5"/>
    <w:rsid w:val="10BF10E1"/>
    <w:rsid w:val="10CA68F6"/>
    <w:rsid w:val="112B29B0"/>
    <w:rsid w:val="115D7261"/>
    <w:rsid w:val="11A06EAF"/>
    <w:rsid w:val="11C4717C"/>
    <w:rsid w:val="11CD11F4"/>
    <w:rsid w:val="11D12348"/>
    <w:rsid w:val="12A22F6F"/>
    <w:rsid w:val="12D13735"/>
    <w:rsid w:val="13EE3A98"/>
    <w:rsid w:val="14E80D18"/>
    <w:rsid w:val="1504391C"/>
    <w:rsid w:val="15345DBD"/>
    <w:rsid w:val="15724DE0"/>
    <w:rsid w:val="172C59B5"/>
    <w:rsid w:val="17FD065F"/>
    <w:rsid w:val="185B6882"/>
    <w:rsid w:val="186D6E4B"/>
    <w:rsid w:val="188941A3"/>
    <w:rsid w:val="18925080"/>
    <w:rsid w:val="190C03EE"/>
    <w:rsid w:val="1BCF41AF"/>
    <w:rsid w:val="1BEA0E8B"/>
    <w:rsid w:val="1C4C6EFB"/>
    <w:rsid w:val="1CCB4E5D"/>
    <w:rsid w:val="1CE369A5"/>
    <w:rsid w:val="1D956586"/>
    <w:rsid w:val="1DA6457A"/>
    <w:rsid w:val="1F0C7AE7"/>
    <w:rsid w:val="1FC66398"/>
    <w:rsid w:val="205128AC"/>
    <w:rsid w:val="20741925"/>
    <w:rsid w:val="21022930"/>
    <w:rsid w:val="21145650"/>
    <w:rsid w:val="217D2507"/>
    <w:rsid w:val="22361CBE"/>
    <w:rsid w:val="22AD7B0F"/>
    <w:rsid w:val="2374519A"/>
    <w:rsid w:val="23A61749"/>
    <w:rsid w:val="23C837E3"/>
    <w:rsid w:val="24547C92"/>
    <w:rsid w:val="24AA0E9E"/>
    <w:rsid w:val="24FB3B77"/>
    <w:rsid w:val="25231339"/>
    <w:rsid w:val="26C64C1E"/>
    <w:rsid w:val="26D72818"/>
    <w:rsid w:val="270A14E8"/>
    <w:rsid w:val="274F1B8B"/>
    <w:rsid w:val="279E37A9"/>
    <w:rsid w:val="28602951"/>
    <w:rsid w:val="28CE6296"/>
    <w:rsid w:val="2970785F"/>
    <w:rsid w:val="2B0769D4"/>
    <w:rsid w:val="2B976F30"/>
    <w:rsid w:val="2C1B3007"/>
    <w:rsid w:val="2DEA72B8"/>
    <w:rsid w:val="2DEC6433"/>
    <w:rsid w:val="2E605DF3"/>
    <w:rsid w:val="2E975835"/>
    <w:rsid w:val="2EA67F80"/>
    <w:rsid w:val="2F866E22"/>
    <w:rsid w:val="30E516A2"/>
    <w:rsid w:val="31286D5A"/>
    <w:rsid w:val="31801D4F"/>
    <w:rsid w:val="333A41AC"/>
    <w:rsid w:val="33C0690C"/>
    <w:rsid w:val="33C378EA"/>
    <w:rsid w:val="351B49CF"/>
    <w:rsid w:val="365C6510"/>
    <w:rsid w:val="37B26A07"/>
    <w:rsid w:val="37F2502E"/>
    <w:rsid w:val="38084AD9"/>
    <w:rsid w:val="3858143F"/>
    <w:rsid w:val="38C429F6"/>
    <w:rsid w:val="39831D6B"/>
    <w:rsid w:val="3A2F2590"/>
    <w:rsid w:val="3A7E076D"/>
    <w:rsid w:val="3B712735"/>
    <w:rsid w:val="3C7461D8"/>
    <w:rsid w:val="3CD07BC1"/>
    <w:rsid w:val="3D793214"/>
    <w:rsid w:val="3D9F0C78"/>
    <w:rsid w:val="3EFC1AB6"/>
    <w:rsid w:val="3FD87804"/>
    <w:rsid w:val="400D47D9"/>
    <w:rsid w:val="4012529A"/>
    <w:rsid w:val="40FF0EE5"/>
    <w:rsid w:val="419F3E3E"/>
    <w:rsid w:val="42C578F9"/>
    <w:rsid w:val="43005089"/>
    <w:rsid w:val="43544F2A"/>
    <w:rsid w:val="436100D7"/>
    <w:rsid w:val="4370788A"/>
    <w:rsid w:val="4486287F"/>
    <w:rsid w:val="44D53D34"/>
    <w:rsid w:val="451943D4"/>
    <w:rsid w:val="46276812"/>
    <w:rsid w:val="46F1491E"/>
    <w:rsid w:val="47163D7B"/>
    <w:rsid w:val="478F4ECF"/>
    <w:rsid w:val="48343468"/>
    <w:rsid w:val="48467DC0"/>
    <w:rsid w:val="4851676A"/>
    <w:rsid w:val="48DC7EE4"/>
    <w:rsid w:val="49167019"/>
    <w:rsid w:val="49194425"/>
    <w:rsid w:val="49AB2C08"/>
    <w:rsid w:val="49B239E8"/>
    <w:rsid w:val="4AFD580E"/>
    <w:rsid w:val="4AFF6EDE"/>
    <w:rsid w:val="4B9868B7"/>
    <w:rsid w:val="4B9D7E91"/>
    <w:rsid w:val="4C0F06E7"/>
    <w:rsid w:val="4CFB4572"/>
    <w:rsid w:val="4DE51FE4"/>
    <w:rsid w:val="4E455ABA"/>
    <w:rsid w:val="4E971C5E"/>
    <w:rsid w:val="4E984750"/>
    <w:rsid w:val="4ED908C5"/>
    <w:rsid w:val="4EF0750C"/>
    <w:rsid w:val="4F195165"/>
    <w:rsid w:val="4F407172"/>
    <w:rsid w:val="4F6A4411"/>
    <w:rsid w:val="4FDA76EC"/>
    <w:rsid w:val="4FF46E85"/>
    <w:rsid w:val="50F46C84"/>
    <w:rsid w:val="516349BA"/>
    <w:rsid w:val="51903C3B"/>
    <w:rsid w:val="52EF0BB5"/>
    <w:rsid w:val="54473DA1"/>
    <w:rsid w:val="55723393"/>
    <w:rsid w:val="55A757DB"/>
    <w:rsid w:val="55AD3636"/>
    <w:rsid w:val="55B67DDB"/>
    <w:rsid w:val="55E11D5C"/>
    <w:rsid w:val="55F54236"/>
    <w:rsid w:val="5609610D"/>
    <w:rsid w:val="560E6A70"/>
    <w:rsid w:val="56FE3136"/>
    <w:rsid w:val="571C7B48"/>
    <w:rsid w:val="5771522F"/>
    <w:rsid w:val="582A7BC3"/>
    <w:rsid w:val="585E56B3"/>
    <w:rsid w:val="58B92EDA"/>
    <w:rsid w:val="590E4DE0"/>
    <w:rsid w:val="59367040"/>
    <w:rsid w:val="59564CC6"/>
    <w:rsid w:val="599C757E"/>
    <w:rsid w:val="5A185B07"/>
    <w:rsid w:val="5A1D251F"/>
    <w:rsid w:val="5A616652"/>
    <w:rsid w:val="5A9E25C3"/>
    <w:rsid w:val="5BE64901"/>
    <w:rsid w:val="5CCA03B6"/>
    <w:rsid w:val="5CCE7744"/>
    <w:rsid w:val="5CE0682C"/>
    <w:rsid w:val="5CFD5BD0"/>
    <w:rsid w:val="5D210677"/>
    <w:rsid w:val="5D607E16"/>
    <w:rsid w:val="5D79752D"/>
    <w:rsid w:val="5DFC1DA4"/>
    <w:rsid w:val="5EC844BF"/>
    <w:rsid w:val="5ED850F6"/>
    <w:rsid w:val="5F1E2439"/>
    <w:rsid w:val="5F6706E3"/>
    <w:rsid w:val="5FA86A4F"/>
    <w:rsid w:val="60085F60"/>
    <w:rsid w:val="601351AE"/>
    <w:rsid w:val="61021A6A"/>
    <w:rsid w:val="61097C96"/>
    <w:rsid w:val="616816D8"/>
    <w:rsid w:val="621576F2"/>
    <w:rsid w:val="626D59B5"/>
    <w:rsid w:val="63124597"/>
    <w:rsid w:val="63174673"/>
    <w:rsid w:val="632D0FF6"/>
    <w:rsid w:val="63953FA2"/>
    <w:rsid w:val="63B23B57"/>
    <w:rsid w:val="65486223"/>
    <w:rsid w:val="658A71E6"/>
    <w:rsid w:val="660B787B"/>
    <w:rsid w:val="667A2D6A"/>
    <w:rsid w:val="66E55C01"/>
    <w:rsid w:val="66E72B41"/>
    <w:rsid w:val="66F64DF0"/>
    <w:rsid w:val="67942580"/>
    <w:rsid w:val="682235A3"/>
    <w:rsid w:val="69522911"/>
    <w:rsid w:val="6B1E77A7"/>
    <w:rsid w:val="6B307304"/>
    <w:rsid w:val="6B4C0909"/>
    <w:rsid w:val="6B954CF5"/>
    <w:rsid w:val="6C535741"/>
    <w:rsid w:val="6D243F5A"/>
    <w:rsid w:val="6D516F47"/>
    <w:rsid w:val="6DC32248"/>
    <w:rsid w:val="6E4D0207"/>
    <w:rsid w:val="6E954194"/>
    <w:rsid w:val="6EF97C90"/>
    <w:rsid w:val="6F02254A"/>
    <w:rsid w:val="6FA9014E"/>
    <w:rsid w:val="6FDE3B35"/>
    <w:rsid w:val="70005BD5"/>
    <w:rsid w:val="71777D31"/>
    <w:rsid w:val="718747D9"/>
    <w:rsid w:val="71A142CC"/>
    <w:rsid w:val="720C2510"/>
    <w:rsid w:val="731C64CF"/>
    <w:rsid w:val="73B64EF6"/>
    <w:rsid w:val="73C53042"/>
    <w:rsid w:val="74185260"/>
    <w:rsid w:val="74487BC7"/>
    <w:rsid w:val="744F6DB0"/>
    <w:rsid w:val="74BB20D6"/>
    <w:rsid w:val="74CF4808"/>
    <w:rsid w:val="759C014B"/>
    <w:rsid w:val="75A756C1"/>
    <w:rsid w:val="765A58A6"/>
    <w:rsid w:val="76824A7B"/>
    <w:rsid w:val="76876225"/>
    <w:rsid w:val="76DF2F23"/>
    <w:rsid w:val="76F141A8"/>
    <w:rsid w:val="76F3430A"/>
    <w:rsid w:val="76F77FB9"/>
    <w:rsid w:val="77346353"/>
    <w:rsid w:val="774002DD"/>
    <w:rsid w:val="77FB6923"/>
    <w:rsid w:val="780600CD"/>
    <w:rsid w:val="78204338"/>
    <w:rsid w:val="784420ED"/>
    <w:rsid w:val="78DB63A6"/>
    <w:rsid w:val="79D91F74"/>
    <w:rsid w:val="79E22658"/>
    <w:rsid w:val="79ED467C"/>
    <w:rsid w:val="7A6C2327"/>
    <w:rsid w:val="7A9D633A"/>
    <w:rsid w:val="7ACA7597"/>
    <w:rsid w:val="7BD3266D"/>
    <w:rsid w:val="7BE3445D"/>
    <w:rsid w:val="7C092067"/>
    <w:rsid w:val="7CA419F6"/>
    <w:rsid w:val="7D3A3BFE"/>
    <w:rsid w:val="7D8C3F38"/>
    <w:rsid w:val="7DD14D13"/>
    <w:rsid w:val="7EAA7C1A"/>
    <w:rsid w:val="7FB03209"/>
    <w:rsid w:val="7FFE1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jc w:val="both"/>
    </w:pPr>
    <w:rPr>
      <w:rFonts w:ascii="Times New Roman" w:hAnsi="Times New Roman" w:eastAsia="仿宋" w:cs="Times New Roman"/>
      <w:sz w:val="24"/>
      <w:szCs w:val="28"/>
      <w:lang w:val="en-US" w:eastAsia="zh-CN" w:bidi="ar-SA"/>
    </w:rPr>
  </w:style>
  <w:style w:type="paragraph" w:styleId="2">
    <w:name w:val="heading 1"/>
    <w:basedOn w:val="1"/>
    <w:next w:val="1"/>
    <w:link w:val="16"/>
    <w:autoRedefine/>
    <w:qFormat/>
    <w:uiPriority w:val="0"/>
    <w:pPr>
      <w:keepNext/>
      <w:keepLines/>
      <w:spacing w:line="360" w:lineRule="auto"/>
      <w:outlineLvl w:val="0"/>
    </w:pPr>
    <w:rPr>
      <w:rFonts w:eastAsia="宋体"/>
      <w:b/>
      <w:bCs/>
      <w:kern w:val="44"/>
      <w:sz w:val="28"/>
      <w:szCs w:val="44"/>
    </w:rPr>
  </w:style>
  <w:style w:type="paragraph" w:styleId="3">
    <w:name w:val="heading 2"/>
    <w:basedOn w:val="1"/>
    <w:next w:val="1"/>
    <w:autoRedefine/>
    <w:semiHidden/>
    <w:unhideWhenUsed/>
    <w:qFormat/>
    <w:uiPriority w:val="0"/>
    <w:pPr>
      <w:keepNext/>
      <w:keepLines/>
      <w:spacing w:beforeLines="0" w:beforeAutospacing="0" w:afterLines="0" w:afterAutospacing="0" w:line="360" w:lineRule="auto"/>
      <w:outlineLvl w:val="1"/>
    </w:pPr>
    <w:rPr>
      <w:rFonts w:ascii="仿宋" w:hAnsi="仿宋" w:eastAsia="仿宋" w:cs="仿宋"/>
      <w:sz w:val="28"/>
      <w:szCs w:val="22"/>
    </w:rPr>
  </w:style>
  <w:style w:type="paragraph" w:styleId="4">
    <w:name w:val="heading 3"/>
    <w:basedOn w:val="1"/>
    <w:next w:val="1"/>
    <w:autoRedefine/>
    <w:semiHidden/>
    <w:unhideWhenUsed/>
    <w:qFormat/>
    <w:uiPriority w:val="0"/>
    <w:pPr>
      <w:keepNext/>
      <w:keepLines/>
      <w:spacing w:line="360" w:lineRule="auto"/>
      <w:ind w:firstLine="0" w:firstLineChars="0"/>
      <w:outlineLvl w:val="2"/>
    </w:pPr>
    <w:rPr>
      <w:rFonts w:ascii="仿宋" w:hAnsi="仿宋" w:eastAsia="华文仿宋" w:cs="仿宋"/>
      <w:b/>
    </w:rPr>
  </w:style>
  <w:style w:type="character" w:default="1" w:styleId="13">
    <w:name w:val="Default Paragraph Font"/>
    <w:autoRedefine/>
    <w:semiHidden/>
    <w:unhideWhenUsed/>
    <w:qFormat/>
    <w:uiPriority w:val="1"/>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footer"/>
    <w:basedOn w:val="1"/>
    <w:autoRedefine/>
    <w:qFormat/>
    <w:uiPriority w:val="99"/>
    <w:pPr>
      <w:tabs>
        <w:tab w:val="center" w:pos="4153"/>
        <w:tab w:val="right" w:pos="8306"/>
      </w:tabs>
      <w:snapToGrid w:val="0"/>
      <w:ind w:right="210" w:rightChars="100"/>
      <w:jc w:val="right"/>
    </w:pPr>
    <w:rPr>
      <w:sz w:val="18"/>
      <w:szCs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toc 1"/>
    <w:next w:val="1"/>
    <w:autoRedefine/>
    <w:qFormat/>
    <w:uiPriority w:val="39"/>
    <w:pPr>
      <w:jc w:val="both"/>
    </w:pPr>
    <w:rPr>
      <w:rFonts w:ascii="宋体" w:hAnsi="Times New Roman" w:eastAsia="宋体" w:cs="Times New Roman"/>
      <w:sz w:val="21"/>
      <w:lang w:val="en-US" w:eastAsia="zh-CN" w:bidi="ar-SA"/>
    </w:rPr>
  </w:style>
  <w:style w:type="paragraph" w:styleId="9">
    <w:name w:val="footnote text"/>
    <w:basedOn w:val="1"/>
    <w:next w:val="1"/>
    <w:autoRedefine/>
    <w:qFormat/>
    <w:uiPriority w:val="0"/>
    <w:pPr>
      <w:adjustRightInd/>
      <w:snapToGrid w:val="0"/>
      <w:spacing w:line="300" w:lineRule="exact"/>
      <w:ind w:left="400" w:leftChars="200" w:hanging="200" w:hangingChars="200"/>
      <w:jc w:val="left"/>
    </w:pPr>
    <w:rPr>
      <w:rFonts w:ascii="宋体"/>
      <w:sz w:val="18"/>
      <w:szCs w:val="18"/>
    </w:rPr>
  </w:style>
  <w:style w:type="paragraph" w:styleId="10">
    <w:name w:val="toc 2"/>
    <w:basedOn w:val="8"/>
    <w:next w:val="1"/>
    <w:autoRedefine/>
    <w:qFormat/>
    <w:uiPriority w:val="39"/>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autoRedefine/>
    <w:qFormat/>
    <w:uiPriority w:val="0"/>
    <w:rPr>
      <w:rFonts w:ascii="Times New Roman" w:hAnsi="Times New Roman" w:eastAsia="宋体"/>
      <w:sz w:val="18"/>
    </w:rPr>
  </w:style>
  <w:style w:type="character" w:styleId="15">
    <w:name w:val="footnote reference"/>
    <w:autoRedefine/>
    <w:qFormat/>
    <w:uiPriority w:val="99"/>
    <w:rPr>
      <w:rFonts w:ascii="宋体" w:hAnsi="宋体" w:eastAsia="宋体" w:cs="Times New Roman"/>
      <w:spacing w:val="0"/>
      <w:sz w:val="18"/>
      <w:vertAlign w:val="superscript"/>
    </w:rPr>
  </w:style>
  <w:style w:type="character" w:customStyle="1" w:styleId="16">
    <w:name w:val="标题 1 字符"/>
    <w:basedOn w:val="13"/>
    <w:link w:val="2"/>
    <w:autoRedefine/>
    <w:qFormat/>
    <w:uiPriority w:val="9"/>
    <w:rPr>
      <w:rFonts w:ascii="Times New Roman" w:hAnsi="宋体" w:eastAsia="宋体" w:cs="Times New Roman"/>
      <w:b/>
      <w:bCs/>
      <w:kern w:val="44"/>
      <w:sz w:val="28"/>
      <w:szCs w:val="44"/>
    </w:rPr>
  </w:style>
  <w:style w:type="paragraph" w:customStyle="1" w:styleId="17">
    <w:name w:val="图表"/>
    <w:basedOn w:val="1"/>
    <w:autoRedefine/>
    <w:qFormat/>
    <w:uiPriority w:val="0"/>
    <w:pPr>
      <w:jc w:val="center"/>
    </w:pPr>
    <w:rPr>
      <w:rFonts w:hint="eastAsia"/>
      <w:b/>
      <w:bCs/>
      <w:sz w:val="21"/>
      <w:szCs w:val="22"/>
    </w:rPr>
  </w:style>
  <w:style w:type="paragraph" w:customStyle="1" w:styleId="18">
    <w:name w:val="段"/>
    <w:autoRedefine/>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9">
    <w:name w:val="目次、标准名称标题"/>
    <w:basedOn w:val="1"/>
    <w:next w:val="18"/>
    <w:autoRedefine/>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0">
    <w:name w:val="章标题"/>
    <w:next w:val="18"/>
    <w:autoRedefine/>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1">
    <w:name w:val="二级条标题"/>
    <w:basedOn w:val="22"/>
    <w:next w:val="18"/>
    <w:autoRedefine/>
    <w:qFormat/>
    <w:uiPriority w:val="0"/>
    <w:pPr>
      <w:numPr>
        <w:ilvl w:val="2"/>
        <w:numId w:val="1"/>
      </w:numPr>
      <w:spacing w:before="50" w:after="50"/>
      <w:outlineLvl w:val="3"/>
    </w:pPr>
  </w:style>
  <w:style w:type="paragraph" w:customStyle="1" w:styleId="22">
    <w:name w:val="一级条标题"/>
    <w:next w:val="18"/>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
    <w:name w:val="Other|1"/>
    <w:basedOn w:val="1"/>
    <w:qFormat/>
    <w:uiPriority w:val="0"/>
    <w:pPr>
      <w:widowControl w:val="0"/>
      <w:shd w:val="clear" w:color="auto" w:fill="auto"/>
    </w:pPr>
    <w:rPr>
      <w:rFonts w:ascii="宋体" w:hAnsi="宋体" w:eastAsia="宋体" w:cs="宋体"/>
      <w:sz w:val="20"/>
      <w:szCs w:val="20"/>
      <w:u w:val="none"/>
      <w:shd w:val="clear" w:color="auto" w:fill="auto"/>
      <w:lang w:val="zh-TW" w:eastAsia="zh-TW" w:bidi="zh-TW"/>
    </w:rPr>
  </w:style>
  <w:style w:type="paragraph" w:customStyle="1" w:styleId="24">
    <w:name w:val="封面正文"/>
    <w:qFormat/>
    <w:uiPriority w:val="0"/>
    <w:pPr>
      <w:jc w:val="both"/>
    </w:pPr>
    <w:rPr>
      <w:rFonts w:ascii="Times New Roman" w:hAnsi="Times New Roman" w:eastAsia="宋体" w:cs="Times New Roman"/>
      <w:lang w:val="en-US" w:eastAsia="zh-CN" w:bidi="ar-SA"/>
    </w:rPr>
  </w:style>
  <w:style w:type="paragraph" w:customStyle="1" w:styleId="25">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26">
    <w:name w:val="其他发布部门"/>
    <w:basedOn w:val="27"/>
    <w:qFormat/>
    <w:uiPriority w:val="0"/>
    <w:pPr>
      <w:spacing w:line="0" w:lineRule="atLeast"/>
    </w:pPr>
    <w:rPr>
      <w:rFonts w:ascii="黑体" w:eastAsia="黑体"/>
      <w:b w:val="0"/>
    </w:rPr>
  </w:style>
  <w:style w:type="paragraph" w:customStyle="1" w:styleId="27">
    <w:name w:val="发布部门"/>
    <w:next w:val="18"/>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character" w:customStyle="1" w:styleId="28">
    <w:name w:val="发布"/>
    <w:autoRedefine/>
    <w:qFormat/>
    <w:uiPriority w:val="0"/>
    <w:rPr>
      <w:rFonts w:ascii="黑体" w:eastAsia="黑体"/>
      <w:spacing w:val="22"/>
      <w:w w:val="100"/>
      <w:position w:val="3"/>
      <w:sz w:val="28"/>
    </w:rPr>
  </w:style>
  <w:style w:type="paragraph" w:customStyle="1" w:styleId="29">
    <w:name w:val="实施日期"/>
    <w:basedOn w:val="30"/>
    <w:qFormat/>
    <w:uiPriority w:val="0"/>
    <w:pPr>
      <w:framePr w:hSpace="0" w:xAlign="right"/>
      <w:jc w:val="right"/>
    </w:pPr>
  </w:style>
  <w:style w:type="paragraph" w:customStyle="1" w:styleId="3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1">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2">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33">
    <w:name w:val="封面一致性程度标识"/>
    <w:autoRedefine/>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3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6">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37">
    <w:name w:val="封面标准代替信息"/>
    <w:basedOn w:val="38"/>
    <w:qFormat/>
    <w:uiPriority w:val="0"/>
    <w:pPr>
      <w:spacing w:before="57"/>
    </w:pPr>
    <w:rPr>
      <w:rFonts w:ascii="宋体"/>
      <w:sz w:val="21"/>
    </w:rPr>
  </w:style>
  <w:style w:type="paragraph" w:customStyle="1" w:styleId="38">
    <w:name w:val="封面标准号2"/>
    <w:basedOn w:val="36"/>
    <w:qFormat/>
    <w:uiPriority w:val="0"/>
    <w:pPr>
      <w:framePr w:w="9138" w:h="1244" w:hRule="exact" w:wrap="around" w:vAnchor="page" w:hAnchor="margin" w:y="2908"/>
      <w:adjustRightInd w:val="0"/>
      <w:spacing w:before="357" w:line="280" w:lineRule="exact"/>
    </w:pPr>
  </w:style>
  <w:style w:type="paragraph" w:customStyle="1" w:styleId="39">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4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1">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42">
    <w:name w:val="前言、引言标题"/>
    <w:next w:val="18"/>
    <w:autoRedefine/>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43">
    <w:name w:val="标准文件_前言、引言标题"/>
    <w:next w:val="1"/>
    <w:autoRedefine/>
    <w:qFormat/>
    <w:uiPriority w:val="0"/>
    <w:pPr>
      <w:numPr>
        <w:ilvl w:val="0"/>
        <w:numId w:val="2"/>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44">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4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47">
    <w:name w:val="标准文件_一级条标题"/>
    <w:basedOn w:val="48"/>
    <w:next w:val="44"/>
    <w:autoRedefine/>
    <w:qFormat/>
    <w:uiPriority w:val="0"/>
    <w:pPr>
      <w:numPr>
        <w:ilvl w:val="2"/>
      </w:numPr>
      <w:spacing w:before="50" w:beforeLines="50" w:after="50" w:afterLines="50"/>
      <w:outlineLvl w:val="1"/>
    </w:pPr>
  </w:style>
  <w:style w:type="paragraph" w:customStyle="1" w:styleId="48">
    <w:name w:val="标准文件_章标题"/>
    <w:next w:val="44"/>
    <w:autoRedefine/>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49">
    <w:name w:val="标准文件_二级条标题"/>
    <w:next w:val="44"/>
    <w:autoRedefine/>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50">
    <w:name w:val="标准文件_正文公式"/>
    <w:basedOn w:val="1"/>
    <w:next w:val="51"/>
    <w:autoRedefine/>
    <w:qFormat/>
    <w:uiPriority w:val="0"/>
    <w:pPr>
      <w:tabs>
        <w:tab w:val="center" w:pos="4678"/>
        <w:tab w:val="right" w:leader="middleDot" w:pos="9356"/>
      </w:tabs>
      <w:spacing w:line="240" w:lineRule="auto"/>
    </w:pPr>
    <w:rPr>
      <w:rFonts w:ascii="宋体" w:hAnsi="宋体"/>
    </w:rPr>
  </w:style>
  <w:style w:type="paragraph" w:customStyle="1" w:styleId="51">
    <w:name w:val="标准文件_标准正文"/>
    <w:basedOn w:val="1"/>
    <w:next w:val="44"/>
    <w:autoRedefine/>
    <w:qFormat/>
    <w:uiPriority w:val="0"/>
    <w:pPr>
      <w:snapToGrid w:val="0"/>
      <w:ind w:firstLine="200" w:firstLineChars="200"/>
    </w:pPr>
    <w:rPr>
      <w:kern w:val="0"/>
    </w:rPr>
  </w:style>
  <w:style w:type="paragraph" w:customStyle="1" w:styleId="52">
    <w:name w:val="标准文件_三级条标题"/>
    <w:basedOn w:val="49"/>
    <w:next w:val="44"/>
    <w:autoRedefine/>
    <w:qFormat/>
    <w:uiPriority w:val="0"/>
    <w:pPr>
      <w:widowControl/>
      <w:numPr>
        <w:ilvl w:val="4"/>
      </w:numPr>
      <w:outlineLvl w:val="3"/>
    </w:pPr>
  </w:style>
  <w:style w:type="paragraph" w:customStyle="1" w:styleId="53">
    <w:name w:val="标准文件_正文表标题"/>
    <w:next w:val="44"/>
    <w:autoRedefine/>
    <w:qFormat/>
    <w:uiPriority w:val="0"/>
    <w:pPr>
      <w:numPr>
        <w:ilvl w:val="0"/>
        <w:numId w:val="4"/>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5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5">
    <w:name w:val="标准文件_字母编号列项（一级）"/>
    <w:autoRedefine/>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6">
    <w:name w:val="标准文件_附录表标题"/>
    <w:next w:val="44"/>
    <w:autoRedefine/>
    <w:qFormat/>
    <w:uiPriority w:val="0"/>
    <w:pPr>
      <w:numPr>
        <w:ilvl w:val="1"/>
        <w:numId w:val="6"/>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57">
    <w:name w:val="标准文件_附录图标号"/>
    <w:basedOn w:val="44"/>
    <w:next w:val="44"/>
    <w:autoRedefine/>
    <w:qFormat/>
    <w:uiPriority w:val="0"/>
    <w:pPr>
      <w:numPr>
        <w:ilvl w:val="0"/>
        <w:numId w:val="7"/>
      </w:numPr>
      <w:spacing w:line="14" w:lineRule="exact"/>
      <w:ind w:firstLine="0" w:firstLineChars="0"/>
      <w:jc w:val="center"/>
    </w:pPr>
    <w:rPr>
      <w:rFonts w:ascii="黑体" w:hAnsi="黑体" w:eastAsia="黑体"/>
      <w:vanish/>
      <w:sz w:val="2"/>
      <w:szCs w:val="21"/>
    </w:rPr>
  </w:style>
  <w:style w:type="paragraph" w:customStyle="1" w:styleId="58">
    <w:name w:val="标准文件_附录表标号"/>
    <w:basedOn w:val="44"/>
    <w:next w:val="44"/>
    <w:autoRedefine/>
    <w:qFormat/>
    <w:uiPriority w:val="0"/>
    <w:pPr>
      <w:numPr>
        <w:ilvl w:val="0"/>
        <w:numId w:val="6"/>
      </w:numPr>
      <w:spacing w:line="14" w:lineRule="exact"/>
      <w:ind w:firstLine="0" w:firstLineChars="0"/>
      <w:jc w:val="center"/>
    </w:pPr>
    <w:rPr>
      <w:rFonts w:eastAsia="黑体"/>
      <w:vanish/>
      <w:sz w:val="2"/>
    </w:rPr>
  </w:style>
  <w:style w:type="paragraph" w:customStyle="1" w:styleId="59">
    <w:name w:val="标准文件_附录标识"/>
    <w:next w:val="44"/>
    <w:autoRedefine/>
    <w:qFormat/>
    <w:uiPriority w:val="0"/>
    <w:pPr>
      <w:numPr>
        <w:ilvl w:val="0"/>
        <w:numId w:val="8"/>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60">
    <w:name w:val="标准文件_页眉偶数页"/>
    <w:basedOn w:val="45"/>
    <w:next w:val="1"/>
    <w:autoRedefine/>
    <w:qFormat/>
    <w:uiPriority w:val="0"/>
    <w:pPr>
      <w:jc w:val="left"/>
    </w:pPr>
  </w:style>
  <w:style w:type="paragraph" w:customStyle="1" w:styleId="61">
    <w:name w:val="标准文件_术语条一"/>
    <w:basedOn w:val="62"/>
    <w:next w:val="44"/>
    <w:autoRedefine/>
    <w:qFormat/>
    <w:uiPriority w:val="0"/>
  </w:style>
  <w:style w:type="paragraph" w:customStyle="1" w:styleId="62">
    <w:name w:val="标准文件_一级无标题"/>
    <w:basedOn w:val="47"/>
    <w:autoRedefine/>
    <w:qFormat/>
    <w:uiPriority w:val="0"/>
    <w:pPr>
      <w:spacing w:before="0" w:beforeLines="0" w:after="0" w:afterLines="0"/>
      <w:outlineLvl w:val="9"/>
    </w:pPr>
    <w:rPr>
      <w:rFonts w:ascii="宋体" w:eastAsia="宋体"/>
    </w:rPr>
  </w:style>
  <w:style w:type="paragraph" w:customStyle="1" w:styleId="63">
    <w:name w:val="标准文件_注："/>
    <w:next w:val="44"/>
    <w:autoRedefine/>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header" Target="header2.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5762</Words>
  <Characters>6578</Characters>
  <Lines>0</Lines>
  <Paragraphs>0</Paragraphs>
  <TotalTime>2</TotalTime>
  <ScaleCrop>false</ScaleCrop>
  <LinksUpToDate>false</LinksUpToDate>
  <CharactersWithSpaces>6914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80753</dc:creator>
  <cp:lastModifiedBy>逍遥/heart</cp:lastModifiedBy>
  <dcterms:modified xsi:type="dcterms:W3CDTF">2024-05-21T06:57:47Z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B617D4CC0E8446D8BB18FF18C54A207C_13</vt:lpwstr>
  </property>
</Properties>
</file>